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D6" w:rsidRDefault="005131D6" w:rsidP="00A4023C">
      <w:pPr>
        <w:pStyle w:val="NoSpacing"/>
        <w:spacing w:before="120" w:after="120"/>
        <w:jc w:val="both"/>
        <w:rPr>
          <w:rFonts w:ascii="Calibri" w:hAnsi="Calibri" w:cs="Calibri"/>
          <w:b/>
        </w:rPr>
      </w:pPr>
    </w:p>
    <w:p w:rsidR="007026DE" w:rsidRDefault="007026DE" w:rsidP="00A4023C">
      <w:pPr>
        <w:pStyle w:val="NoSpacing"/>
        <w:spacing w:before="120" w:after="120"/>
        <w:jc w:val="both"/>
        <w:rPr>
          <w:rFonts w:ascii="Calibri" w:hAnsi="Calibri" w:cs="Calibri"/>
          <w:b/>
        </w:rPr>
      </w:pPr>
    </w:p>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417"/>
        <w:gridCol w:w="5028"/>
      </w:tblGrid>
      <w:tr w:rsidR="005131D6" w:rsidTr="007026DE">
        <w:tc>
          <w:tcPr>
            <w:tcW w:w="5046" w:type="dxa"/>
          </w:tcPr>
          <w:p w:rsidR="007026DE" w:rsidRPr="005131D6" w:rsidRDefault="006739BB" w:rsidP="007026DE">
            <w:pPr>
              <w:pStyle w:val="NoSpacing"/>
              <w:spacing w:before="40" w:after="40"/>
              <w:jc w:val="center"/>
              <w:rPr>
                <w:rFonts w:ascii="Calibri" w:hAnsi="Calibri" w:cs="Calibri"/>
                <w:b/>
                <w:color w:val="0B5E67"/>
              </w:rPr>
            </w:pPr>
            <w:r>
              <w:rPr>
                <w:rFonts w:ascii="Calibri" w:hAnsi="Calibri" w:cs="Calibri"/>
                <w:b/>
                <w:color w:val="0B5E67"/>
              </w:rPr>
              <w:t xml:space="preserve">Summary Abstract </w:t>
            </w:r>
            <w:r w:rsidR="007026DE">
              <w:rPr>
                <w:rFonts w:ascii="Calibri" w:hAnsi="Calibri" w:cs="Calibri"/>
                <w:b/>
                <w:color w:val="0B5E67"/>
              </w:rPr>
              <w:t xml:space="preserve">: </w:t>
            </w:r>
          </w:p>
          <w:p w:rsidR="007026DE" w:rsidRDefault="007026DE" w:rsidP="007026DE">
            <w:pPr>
              <w:pStyle w:val="NoSpacing"/>
              <w:spacing w:before="40" w:after="40"/>
              <w:jc w:val="center"/>
              <w:rPr>
                <w:rFonts w:ascii="Calibri" w:hAnsi="Calibri" w:cs="Calibri"/>
                <w:color w:val="0B5E67"/>
              </w:rPr>
            </w:pPr>
            <w:r>
              <w:rPr>
                <w:rFonts w:ascii="Calibri" w:hAnsi="Calibri" w:cs="Calibri"/>
                <w:b/>
                <w:color w:val="0B5E67"/>
              </w:rPr>
              <w:t>Interim Results for feasibility study</w:t>
            </w:r>
          </w:p>
          <w:p w:rsidR="007026DE" w:rsidRDefault="007026DE" w:rsidP="0061730D">
            <w:pPr>
              <w:spacing w:before="40" w:after="40"/>
              <w:rPr>
                <w:rFonts w:ascii="Calibri" w:hAnsi="Calibri" w:cs="Calibri"/>
                <w:color w:val="0B5E67"/>
              </w:rPr>
            </w:pPr>
          </w:p>
          <w:p w:rsidR="0061730D" w:rsidRPr="0061730D" w:rsidRDefault="0061730D" w:rsidP="0061730D">
            <w:pPr>
              <w:spacing w:before="40" w:after="40"/>
              <w:rPr>
                <w:color w:val="0B5E67"/>
                <w:lang w:eastAsia="en-GB"/>
              </w:rPr>
            </w:pPr>
            <w:r w:rsidRPr="0061730D">
              <w:rPr>
                <w:rFonts w:ascii="Calibri" w:hAnsi="Calibri" w:cs="Calibri"/>
                <w:color w:val="0B5E67"/>
              </w:rPr>
              <w:t>PILOT-IMPLEMENTATION:</w:t>
            </w:r>
            <w:r w:rsidRPr="0061730D">
              <w:rPr>
                <w:color w:val="0B5E67"/>
                <w:lang w:eastAsia="en-GB"/>
              </w:rPr>
              <w:t xml:space="preserve"> </w:t>
            </w:r>
            <w:r w:rsidRPr="0061730D">
              <w:rPr>
                <w:color w:val="0B5E67"/>
              </w:rPr>
              <w:t>Serious Illness Care Programme UK: Implementation of a communication model for patients with advanced cancer, a feasibility study</w:t>
            </w:r>
          </w:p>
          <w:p w:rsidR="0061730D" w:rsidRDefault="0061730D" w:rsidP="0061730D">
            <w:pPr>
              <w:tabs>
                <w:tab w:val="left" w:pos="273"/>
              </w:tabs>
              <w:spacing w:before="40" w:after="40"/>
              <w:rPr>
                <w:b/>
              </w:rPr>
            </w:pPr>
          </w:p>
          <w:p w:rsidR="0061730D" w:rsidRPr="0061730D" w:rsidRDefault="0061730D" w:rsidP="0061730D">
            <w:pPr>
              <w:tabs>
                <w:tab w:val="left" w:pos="273"/>
              </w:tabs>
              <w:spacing w:before="40" w:after="40"/>
              <w:rPr>
                <w:b/>
                <w:color w:val="0B5E67"/>
              </w:rPr>
            </w:pPr>
            <w:r w:rsidRPr="0061730D">
              <w:rPr>
                <w:b/>
                <w:color w:val="0B5E67"/>
              </w:rPr>
              <w:t>1.</w:t>
            </w:r>
            <w:r w:rsidRPr="0061730D">
              <w:rPr>
                <w:b/>
                <w:color w:val="0B5E67"/>
              </w:rPr>
              <w:tab/>
              <w:t>BACKGROUND</w:t>
            </w:r>
          </w:p>
          <w:p w:rsidR="0061730D" w:rsidRDefault="0061730D" w:rsidP="0061730D">
            <w:pPr>
              <w:spacing w:before="40" w:after="40"/>
            </w:pPr>
            <w:r w:rsidRPr="006B384F">
              <w:t>The Serious Illness Care Programme (the programme), developed in the US by Ariadne Labs, is a ‘systems wide’ complex intervention to support communication and individualised care planning, between clinicians and patients with serious illness</w:t>
            </w:r>
            <w:r>
              <w:t xml:space="preserve"> [1]</w:t>
            </w:r>
            <w:r w:rsidRPr="006B384F">
              <w:t xml:space="preserve">. In collaboration with </w:t>
            </w:r>
            <w:r w:rsidR="007026DE" w:rsidRPr="006B384F">
              <w:t>Ariadne</w:t>
            </w:r>
            <w:r w:rsidRPr="006B384F">
              <w:t xml:space="preserve"> Labs the programme has been developed for use within the UK, with pilot implementation funded by NHS England. Within the programme, clinicians are trained in use of a Serious Illness Conversation Guide (the guide), to structure conversations with patients/families.</w:t>
            </w:r>
          </w:p>
          <w:p w:rsidR="0061730D" w:rsidRPr="006B384F" w:rsidRDefault="0061730D" w:rsidP="0061730D">
            <w:pPr>
              <w:spacing w:before="40" w:after="40"/>
            </w:pPr>
          </w:p>
          <w:p w:rsidR="0061730D" w:rsidRDefault="0061730D" w:rsidP="0061730D">
            <w:pPr>
              <w:spacing w:before="40" w:after="40"/>
            </w:pPr>
            <w:r w:rsidRPr="006B384F">
              <w:t>A feasibility of the UK programme is underway, within Clatterbridge Cancer Centre NHS Foundation Trust.</w:t>
            </w:r>
          </w:p>
          <w:p w:rsidR="0061730D" w:rsidRPr="0061730D" w:rsidRDefault="0061730D" w:rsidP="0061730D">
            <w:pPr>
              <w:spacing w:before="40" w:after="40"/>
              <w:rPr>
                <w:b/>
                <w:color w:val="0B5E67"/>
              </w:rPr>
            </w:pPr>
          </w:p>
          <w:p w:rsidR="0061730D" w:rsidRPr="0061730D" w:rsidRDefault="0061730D" w:rsidP="0061730D">
            <w:pPr>
              <w:tabs>
                <w:tab w:val="left" w:pos="288"/>
              </w:tabs>
              <w:spacing w:before="40" w:after="40"/>
              <w:rPr>
                <w:b/>
                <w:color w:val="0B5E67"/>
              </w:rPr>
            </w:pPr>
            <w:r w:rsidRPr="0061730D">
              <w:rPr>
                <w:b/>
                <w:color w:val="0B5E67"/>
              </w:rPr>
              <w:t>2.</w:t>
            </w:r>
            <w:r w:rsidRPr="0061730D">
              <w:rPr>
                <w:b/>
                <w:color w:val="0B5E67"/>
              </w:rPr>
              <w:tab/>
              <w:t>AIM</w:t>
            </w:r>
          </w:p>
          <w:p w:rsidR="0061730D" w:rsidRDefault="0061730D" w:rsidP="0061730D">
            <w:pPr>
              <w:spacing w:before="40" w:after="40"/>
            </w:pPr>
            <w:r>
              <w:t xml:space="preserve">Assess the acceptability and feasibility of </w:t>
            </w:r>
            <w:r w:rsidRPr="006B384F">
              <w:t>The Serious Illness Care Programme</w:t>
            </w:r>
            <w:r>
              <w:t xml:space="preserve"> UK whe</w:t>
            </w:r>
            <w:bookmarkStart w:id="0" w:name="_GoBack"/>
            <w:bookmarkEnd w:id="0"/>
            <w:r>
              <w:t>n implemented within one cancer centre in the North West of England.</w:t>
            </w:r>
          </w:p>
          <w:p w:rsidR="0061730D" w:rsidRDefault="0061730D" w:rsidP="0061730D">
            <w:pPr>
              <w:pStyle w:val="NoSpacing"/>
              <w:spacing w:before="40" w:after="40" w:line="276" w:lineRule="auto"/>
            </w:pPr>
            <w:r>
              <w:t>This study will seek to collect data on the use and experience of the Programme, with the following objectives:</w:t>
            </w:r>
          </w:p>
          <w:p w:rsidR="0061730D" w:rsidRDefault="0061730D" w:rsidP="0061730D">
            <w:pPr>
              <w:pStyle w:val="NoSpacing"/>
              <w:numPr>
                <w:ilvl w:val="0"/>
                <w:numId w:val="10"/>
              </w:numPr>
              <w:spacing w:before="40" w:after="40" w:line="276" w:lineRule="auto"/>
            </w:pPr>
            <w:r>
              <w:t>Assess feasibility of study measures:</w:t>
            </w:r>
          </w:p>
          <w:p w:rsidR="0061730D" w:rsidRDefault="0061730D" w:rsidP="0061730D">
            <w:pPr>
              <w:pStyle w:val="ListParagraph"/>
              <w:numPr>
                <w:ilvl w:val="1"/>
                <w:numId w:val="10"/>
              </w:numPr>
              <w:spacing w:before="40" w:after="40"/>
              <w:ind w:left="602" w:hanging="284"/>
            </w:pPr>
            <w:r>
              <w:t>Proportion of patients identified as eligible for serious illness conversations that go on to complete the study measures.</w:t>
            </w:r>
          </w:p>
          <w:p w:rsidR="0061730D" w:rsidRDefault="0061730D" w:rsidP="0061730D">
            <w:pPr>
              <w:pStyle w:val="ListParagraph"/>
              <w:numPr>
                <w:ilvl w:val="1"/>
                <w:numId w:val="10"/>
              </w:numPr>
              <w:spacing w:before="40" w:after="40"/>
              <w:ind w:left="602" w:hanging="284"/>
            </w:pPr>
            <w:r>
              <w:t>Use data collected from study measures to illustrate any indicative improvements in communication and patient outcomes.</w:t>
            </w:r>
          </w:p>
          <w:p w:rsidR="005131D6" w:rsidRDefault="0061730D" w:rsidP="00AE6107">
            <w:pPr>
              <w:pStyle w:val="ListParagraph"/>
              <w:numPr>
                <w:ilvl w:val="0"/>
                <w:numId w:val="10"/>
              </w:numPr>
              <w:spacing w:before="40" w:after="40"/>
              <w:rPr>
                <w:rFonts w:cs="Calibri"/>
                <w:b/>
              </w:rPr>
            </w:pPr>
            <w:r>
              <w:t>Qualitative data on the experience of engaging in conversations using the Serious Illness Conversation Guide.</w:t>
            </w:r>
          </w:p>
        </w:tc>
        <w:tc>
          <w:tcPr>
            <w:tcW w:w="417" w:type="dxa"/>
          </w:tcPr>
          <w:p w:rsidR="005131D6" w:rsidRDefault="005131D6" w:rsidP="0061730D">
            <w:pPr>
              <w:pStyle w:val="NoSpacing"/>
              <w:spacing w:before="40" w:after="40"/>
              <w:jc w:val="both"/>
              <w:rPr>
                <w:rFonts w:ascii="Calibri" w:hAnsi="Calibri" w:cs="Calibri"/>
                <w:b/>
              </w:rPr>
            </w:pPr>
          </w:p>
        </w:tc>
        <w:tc>
          <w:tcPr>
            <w:tcW w:w="5028" w:type="dxa"/>
          </w:tcPr>
          <w:p w:rsidR="0061730D" w:rsidRPr="0061730D" w:rsidRDefault="0061730D" w:rsidP="0061730D">
            <w:pPr>
              <w:pStyle w:val="NoSpacing"/>
              <w:tabs>
                <w:tab w:val="left" w:pos="496"/>
              </w:tabs>
              <w:spacing w:line="276" w:lineRule="auto"/>
              <w:rPr>
                <w:b/>
                <w:color w:val="0B5E67"/>
              </w:rPr>
            </w:pPr>
            <w:r w:rsidRPr="0061730D">
              <w:rPr>
                <w:color w:val="0B5E67"/>
              </w:rPr>
              <w:t>3.</w:t>
            </w:r>
            <w:r w:rsidRPr="0061730D">
              <w:rPr>
                <w:color w:val="0B5E67"/>
              </w:rPr>
              <w:tab/>
            </w:r>
            <w:r w:rsidRPr="0061730D">
              <w:rPr>
                <w:b/>
                <w:color w:val="0B5E67"/>
              </w:rPr>
              <w:t>METHODS</w:t>
            </w:r>
          </w:p>
          <w:p w:rsidR="0061730D" w:rsidRDefault="0061730D" w:rsidP="0061730D">
            <w:pPr>
              <w:pStyle w:val="NoSpacing"/>
              <w:spacing w:line="276" w:lineRule="auto"/>
            </w:pPr>
            <w:r>
              <w:t>This study will use a mixed methods approach to explore the acceptability and feasibility to clinicians and patients of the SICP-UK intervention.  The specific methods are as follows:</w:t>
            </w:r>
          </w:p>
          <w:p w:rsidR="0061730D" w:rsidRPr="00C101CE" w:rsidRDefault="0061730D" w:rsidP="0061730D">
            <w:pPr>
              <w:pStyle w:val="NoSpacing"/>
              <w:spacing w:line="276" w:lineRule="auto"/>
              <w:rPr>
                <w:sz w:val="8"/>
              </w:rPr>
            </w:pPr>
          </w:p>
          <w:p w:rsidR="0061730D" w:rsidRDefault="0061730D" w:rsidP="0061730D">
            <w:pPr>
              <w:pStyle w:val="NoSpacing"/>
              <w:spacing w:line="276" w:lineRule="auto"/>
            </w:pPr>
            <w:r>
              <w:t xml:space="preserve">Quantitative measures at two time points: </w:t>
            </w:r>
          </w:p>
          <w:p w:rsidR="0061730D" w:rsidRDefault="0061730D" w:rsidP="0061730D">
            <w:pPr>
              <w:pStyle w:val="NoSpacing"/>
              <w:numPr>
                <w:ilvl w:val="0"/>
                <w:numId w:val="11"/>
              </w:numPr>
            </w:pPr>
            <w:r>
              <w:t>Patients: 1) Quality of communication [15]; 2) Quality of life [16]; 3) Anxiety [17]; 4) Depression [18,19]</w:t>
            </w:r>
          </w:p>
          <w:p w:rsidR="0061730D" w:rsidRDefault="0061730D" w:rsidP="0061730D">
            <w:pPr>
              <w:pStyle w:val="NoSpacing"/>
              <w:numPr>
                <w:ilvl w:val="0"/>
                <w:numId w:val="11"/>
              </w:numPr>
            </w:pPr>
            <w:r>
              <w:t>Clinicians: 1) Confidence [20]; 2) Attitudes to care [21]; 3) Acceptability of the Programme</w:t>
            </w:r>
          </w:p>
          <w:p w:rsidR="0061730D" w:rsidRDefault="0061730D" w:rsidP="0061730D">
            <w:pPr>
              <w:pStyle w:val="NoSpacing"/>
              <w:spacing w:line="276" w:lineRule="auto"/>
            </w:pPr>
          </w:p>
          <w:p w:rsidR="0061730D" w:rsidRDefault="0061730D" w:rsidP="0061730D">
            <w:pPr>
              <w:pStyle w:val="NoSpacing"/>
              <w:spacing w:line="276" w:lineRule="auto"/>
            </w:pPr>
            <w:r>
              <w:t>Qualitative Narrative Interviews to explore the use and experience of the Programme, from the perspective of both ‘user’ groups: multi-disciplinary cancer team and patients.</w:t>
            </w:r>
          </w:p>
          <w:p w:rsidR="0061730D" w:rsidRPr="0026780A" w:rsidRDefault="0061730D" w:rsidP="0061730D">
            <w:pPr>
              <w:pStyle w:val="NoSpacing"/>
              <w:spacing w:line="276" w:lineRule="auto"/>
            </w:pPr>
          </w:p>
          <w:p w:rsidR="0061730D" w:rsidRPr="006B384F" w:rsidRDefault="0061730D" w:rsidP="0061730D">
            <w:pPr>
              <w:tabs>
                <w:tab w:val="left" w:pos="345"/>
              </w:tabs>
              <w:rPr>
                <w:b/>
              </w:rPr>
            </w:pPr>
            <w:r w:rsidRPr="00EA6765">
              <w:rPr>
                <w:b/>
                <w:color w:val="0B5E67"/>
              </w:rPr>
              <w:t>4</w:t>
            </w:r>
            <w:r w:rsidR="00EA6765" w:rsidRPr="00EA6765">
              <w:rPr>
                <w:b/>
                <w:color w:val="0B5E67"/>
              </w:rPr>
              <w:t>.</w:t>
            </w:r>
            <w:r w:rsidR="00EA6765" w:rsidRPr="00EA6765">
              <w:rPr>
                <w:b/>
                <w:color w:val="0B5E67"/>
              </w:rPr>
              <w:tab/>
            </w:r>
            <w:r w:rsidRPr="00EA6765">
              <w:rPr>
                <w:b/>
                <w:color w:val="0B5E67"/>
              </w:rPr>
              <w:t xml:space="preserve">INTERIM </w:t>
            </w:r>
            <w:r w:rsidRPr="0061730D">
              <w:rPr>
                <w:b/>
                <w:color w:val="0B5E67"/>
              </w:rPr>
              <w:t>FINDINGS</w:t>
            </w:r>
          </w:p>
          <w:p w:rsidR="0061730D" w:rsidRDefault="0061730D" w:rsidP="0061730D">
            <w:r>
              <w:t>At the time of publication 7</w:t>
            </w:r>
            <w:r w:rsidRPr="006B384F">
              <w:t xml:space="preserve"> patient qualitative interviews </w:t>
            </w:r>
            <w:r>
              <w:t>have been conducted, with a target of 20 patients. Data collection is still ongoing and full project results will be published in the research literature once completed.</w:t>
            </w:r>
          </w:p>
          <w:p w:rsidR="00AE6107" w:rsidRDefault="00AE6107" w:rsidP="00AE6107"/>
          <w:p w:rsidR="00AE6107" w:rsidRPr="006B384F" w:rsidRDefault="00AE6107" w:rsidP="00AE6107">
            <w:pPr>
              <w:rPr>
                <w:b/>
              </w:rPr>
            </w:pPr>
            <w:r w:rsidRPr="006B384F">
              <w:rPr>
                <w:b/>
              </w:rPr>
              <w:t>MAIN HEADLINES</w:t>
            </w:r>
            <w:r w:rsidRPr="00E23AEC">
              <w:t xml:space="preserve"> </w:t>
            </w:r>
            <w:r>
              <w:t>experience of participati</w:t>
            </w:r>
            <w:r w:rsidRPr="006B384F">
              <w:t>n</w:t>
            </w:r>
            <w:r>
              <w:t>g</w:t>
            </w:r>
            <w:r w:rsidRPr="006B384F">
              <w:t xml:space="preserve"> in the serious illness conversation</w:t>
            </w:r>
          </w:p>
          <w:p w:rsidR="00AE6107" w:rsidRDefault="00AE6107" w:rsidP="00AE6107">
            <w:pPr>
              <w:pStyle w:val="ListParagraph"/>
              <w:numPr>
                <w:ilvl w:val="0"/>
                <w:numId w:val="12"/>
              </w:numPr>
              <w:ind w:left="360"/>
            </w:pPr>
            <w:r w:rsidRPr="005D43E3">
              <w:rPr>
                <w:b/>
              </w:rPr>
              <w:t>Patient recruitment is currently ongoing, with a target to undertake 20 patient qualitative interviews from ongoing serious illness conversations</w:t>
            </w:r>
            <w:r>
              <w:rPr>
                <w:b/>
              </w:rPr>
              <w:t xml:space="preserve"> within Clatterbridge Cancer Centre</w:t>
            </w:r>
            <w:r w:rsidRPr="005D43E3">
              <w:rPr>
                <w:b/>
              </w:rPr>
              <w:t>.</w:t>
            </w:r>
            <w:r w:rsidRPr="006B384F">
              <w:t xml:space="preserve"> </w:t>
            </w:r>
          </w:p>
          <w:p w:rsidR="005131D6" w:rsidRDefault="00AE6107" w:rsidP="00AE6107">
            <w:pPr>
              <w:pStyle w:val="ListParagraph"/>
              <w:numPr>
                <w:ilvl w:val="0"/>
                <w:numId w:val="12"/>
              </w:numPr>
              <w:ind w:left="360"/>
              <w:rPr>
                <w:rFonts w:cs="Calibri"/>
                <w:b/>
              </w:rPr>
            </w:pPr>
            <w:r w:rsidRPr="006B384F">
              <w:t>These interim results highlight the value that patients place in having these conversations. Patients described feeling ‘valued’ as a person rather than the sole focus being on their disease and plans for treatment or care, as well as the ‘time to talk’ specifically with their consultant, and the fact that it enabled them to ‘think about’ and address the reality that they may not survive their illness.</w:t>
            </w:r>
          </w:p>
        </w:tc>
      </w:tr>
    </w:tbl>
    <w:p w:rsidR="008845B3" w:rsidRDefault="008845B3" w:rsidP="00AE4794">
      <w:pPr>
        <w:pStyle w:val="NoSpacing"/>
        <w:jc w:val="both"/>
        <w:sectPr w:rsidR="008845B3" w:rsidSect="007026DE">
          <w:headerReference w:type="default" r:id="rId9"/>
          <w:footerReference w:type="default" r:id="rId10"/>
          <w:pgSz w:w="12240" w:h="15840"/>
          <w:pgMar w:top="1440" w:right="1440" w:bottom="851" w:left="1440" w:header="720" w:footer="422" w:gutter="0"/>
          <w:cols w:space="720"/>
          <w:docGrid w:linePitch="360"/>
        </w:sectPr>
      </w:pPr>
    </w:p>
    <w:p w:rsidR="00B43F34" w:rsidRDefault="00B43F34" w:rsidP="00AE4794">
      <w:pPr>
        <w:pStyle w:val="NoSpacing"/>
        <w:jc w:val="both"/>
      </w:pPr>
    </w:p>
    <w:p w:rsidR="008845B3" w:rsidRDefault="008845B3" w:rsidP="00AE4794">
      <w:pPr>
        <w:pStyle w:val="NoSpacing"/>
        <w:jc w:val="both"/>
      </w:pPr>
    </w:p>
    <w:p w:rsidR="008845B3" w:rsidRDefault="008845B3" w:rsidP="00AE4794">
      <w:pPr>
        <w:pStyle w:val="NoSpacing"/>
        <w:jc w:val="both"/>
      </w:pPr>
    </w:p>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417"/>
        <w:gridCol w:w="5026"/>
      </w:tblGrid>
      <w:tr w:rsidR="008845B3" w:rsidTr="00923CE9">
        <w:tc>
          <w:tcPr>
            <w:tcW w:w="5160" w:type="dxa"/>
          </w:tcPr>
          <w:p w:rsidR="00AE6107" w:rsidRPr="006B384F" w:rsidRDefault="00AE6107" w:rsidP="00AE6107">
            <w:pPr>
              <w:pStyle w:val="ListParagraph"/>
              <w:numPr>
                <w:ilvl w:val="0"/>
                <w:numId w:val="12"/>
              </w:numPr>
              <w:spacing w:before="40" w:after="40"/>
              <w:ind w:left="360"/>
            </w:pPr>
            <w:r w:rsidRPr="006B384F">
              <w:t>Results from this study suggest that these conversations should be viewed as central to providing high quality care to patients with serious illness.</w:t>
            </w:r>
          </w:p>
          <w:p w:rsidR="00AE6107" w:rsidRDefault="00AE6107" w:rsidP="00AE6107">
            <w:pPr>
              <w:spacing w:before="40" w:after="40"/>
              <w:jc w:val="both"/>
              <w:rPr>
                <w:b/>
              </w:rPr>
            </w:pPr>
          </w:p>
          <w:p w:rsidR="00AE6107" w:rsidRPr="00602F5E" w:rsidRDefault="00602F5E" w:rsidP="00602F5E">
            <w:pPr>
              <w:tabs>
                <w:tab w:val="left" w:pos="318"/>
              </w:tabs>
              <w:spacing w:before="40" w:after="40"/>
              <w:jc w:val="both"/>
              <w:rPr>
                <w:b/>
                <w:color w:val="0B5E67"/>
              </w:rPr>
            </w:pPr>
            <w:r w:rsidRPr="00602F5E">
              <w:rPr>
                <w:b/>
                <w:color w:val="0B5E67"/>
              </w:rPr>
              <w:t>5.</w:t>
            </w:r>
            <w:r w:rsidRPr="00602F5E">
              <w:rPr>
                <w:b/>
                <w:color w:val="0B5E67"/>
              </w:rPr>
              <w:tab/>
            </w:r>
            <w:r w:rsidR="00AE6107" w:rsidRPr="00602F5E">
              <w:rPr>
                <w:b/>
                <w:color w:val="0B5E67"/>
              </w:rPr>
              <w:t>CONCLUSION</w:t>
            </w:r>
          </w:p>
          <w:p w:rsidR="00AE6107" w:rsidRDefault="00AE6107" w:rsidP="00602F5E">
            <w:pPr>
              <w:spacing w:before="40" w:after="40"/>
            </w:pPr>
            <w:r w:rsidRPr="00FB64A3">
              <w:t xml:space="preserve">Results from this study suggest that </w:t>
            </w:r>
            <w:r>
              <w:t>continuation of the Serious Illness Care Programme UK within Clatterbridge Cancer Centre should be promoted</w:t>
            </w:r>
            <w:r w:rsidRPr="00FB64A3">
              <w:t xml:space="preserve">. </w:t>
            </w:r>
            <w:r>
              <w:t>In order to influence the way care is delivered to patients with serious illness and their families, clinicians and policy makers need to have confidence that programmes and initiatives promoted as best practice are sufficiently evidence based; therefore it is essential that the implementation of the UK programme is underpinned by a robust research programme to establish the evidence base prior to wider investment and use.</w:t>
            </w:r>
          </w:p>
          <w:p w:rsidR="00AE6107" w:rsidRPr="00602F5E" w:rsidRDefault="00AE6107" w:rsidP="00AE6107">
            <w:pPr>
              <w:pStyle w:val="NoSpacing"/>
              <w:spacing w:before="40" w:after="40" w:line="276" w:lineRule="auto"/>
              <w:jc w:val="both"/>
              <w:rPr>
                <w:rFonts w:eastAsiaTheme="minorHAnsi"/>
                <w:color w:val="0B5E67"/>
                <w:lang w:val="en-GB"/>
              </w:rPr>
            </w:pPr>
          </w:p>
          <w:p w:rsidR="00AE6107" w:rsidRPr="00602F5E" w:rsidRDefault="00602F5E" w:rsidP="00602F5E">
            <w:pPr>
              <w:pStyle w:val="NoSpacing"/>
              <w:tabs>
                <w:tab w:val="left" w:pos="318"/>
              </w:tabs>
              <w:spacing w:before="40" w:after="40" w:line="276" w:lineRule="auto"/>
              <w:jc w:val="both"/>
              <w:rPr>
                <w:b/>
                <w:color w:val="0B5E67"/>
              </w:rPr>
            </w:pPr>
            <w:r w:rsidRPr="00602F5E">
              <w:rPr>
                <w:b/>
                <w:color w:val="0B5E67"/>
              </w:rPr>
              <w:t>6.</w:t>
            </w:r>
            <w:r w:rsidRPr="00602F5E">
              <w:rPr>
                <w:b/>
                <w:color w:val="0B5E67"/>
              </w:rPr>
              <w:tab/>
            </w:r>
            <w:r w:rsidR="00AE6107" w:rsidRPr="00602F5E">
              <w:rPr>
                <w:b/>
                <w:color w:val="0B5E67"/>
              </w:rPr>
              <w:t>REFERENCES</w:t>
            </w:r>
          </w:p>
          <w:p w:rsidR="00AE6107" w:rsidRDefault="00AE6107" w:rsidP="00602F5E">
            <w:pPr>
              <w:pStyle w:val="NoSpacing"/>
              <w:spacing w:before="40" w:after="40" w:line="276" w:lineRule="auto"/>
              <w:ind w:left="318" w:hanging="318"/>
            </w:pPr>
            <w:r>
              <w:t xml:space="preserve">1. </w:t>
            </w:r>
            <w:r w:rsidR="00602F5E">
              <w:tab/>
            </w:r>
            <w:r w:rsidRPr="00166586">
              <w:t>Bernacki</w:t>
            </w:r>
            <w:r>
              <w:t>, R.,</w:t>
            </w:r>
            <w:r w:rsidRPr="00166586">
              <w:t xml:space="preserve"> Hutchings</w:t>
            </w:r>
            <w:r>
              <w:t>, M.,</w:t>
            </w:r>
            <w:r w:rsidRPr="00166586">
              <w:t xml:space="preserve"> Vick</w:t>
            </w:r>
            <w:r>
              <w:t>, J.,</w:t>
            </w:r>
            <w:r w:rsidRPr="00166586">
              <w:t xml:space="preserve"> Smith</w:t>
            </w:r>
            <w:r>
              <w:t>, G.</w:t>
            </w:r>
            <w:r w:rsidRPr="00166586">
              <w:t>, Paladino</w:t>
            </w:r>
            <w:r>
              <w:t>, J.,</w:t>
            </w:r>
            <w:r w:rsidRPr="00166586">
              <w:t xml:space="preserve"> Lipsitz</w:t>
            </w:r>
            <w:r>
              <w:t>, S.</w:t>
            </w:r>
            <w:r w:rsidRPr="00166586">
              <w:t xml:space="preserve">, </w:t>
            </w:r>
            <w:r>
              <w:t>Gawande, A.A.</w:t>
            </w:r>
            <w:r w:rsidRPr="00166586">
              <w:t xml:space="preserve">, </w:t>
            </w:r>
            <w:r>
              <w:t xml:space="preserve">and </w:t>
            </w:r>
            <w:r w:rsidRPr="00166586">
              <w:t>Block</w:t>
            </w:r>
            <w:r>
              <w:t>, S.D. (</w:t>
            </w:r>
            <w:r w:rsidRPr="00795FB7">
              <w:t>2015</w:t>
            </w:r>
            <w:r>
              <w:t>) ‘</w:t>
            </w:r>
            <w:r w:rsidRPr="00166586">
              <w:t>Development of the Serious Illness Care Program: a randomised controlled trial of a palliative care communication intervention</w:t>
            </w:r>
            <w:r>
              <w:t xml:space="preserve">’, </w:t>
            </w:r>
            <w:r w:rsidRPr="00995443">
              <w:rPr>
                <w:i/>
              </w:rPr>
              <w:t>BMJ Open</w:t>
            </w:r>
            <w:r>
              <w:rPr>
                <w:i/>
              </w:rPr>
              <w:t>,</w:t>
            </w:r>
            <w:r>
              <w:t xml:space="preserve"> 2015 5:e009032. doi:10.1136/bmjopen-2015-009032.</w:t>
            </w:r>
          </w:p>
          <w:p w:rsidR="00AE6107" w:rsidRDefault="00AE6107" w:rsidP="00602F5E">
            <w:pPr>
              <w:pStyle w:val="NoSpacing"/>
              <w:spacing w:before="40" w:after="40" w:line="276" w:lineRule="auto"/>
              <w:ind w:left="318" w:hanging="318"/>
            </w:pPr>
          </w:p>
          <w:p w:rsidR="00AE6107" w:rsidRPr="00C101CE" w:rsidRDefault="00AE6107" w:rsidP="00602F5E">
            <w:pPr>
              <w:pStyle w:val="NoSpacing"/>
              <w:spacing w:before="40" w:after="40" w:line="276" w:lineRule="auto"/>
              <w:ind w:left="318" w:hanging="318"/>
            </w:pPr>
            <w:r>
              <w:t xml:space="preserve">2. </w:t>
            </w:r>
            <w:r w:rsidR="00602F5E">
              <w:tab/>
            </w:r>
            <w:r w:rsidRPr="00C101CE">
              <w:t xml:space="preserve">Engelberg R, Downey L, Curtis JR (2006) Psychometric characteristics of a quality of communication questionnaire assessing communication about end-of-life care. </w:t>
            </w:r>
            <w:r w:rsidRPr="004E6274">
              <w:rPr>
                <w:i/>
              </w:rPr>
              <w:t>Journal of Palliative Medicine</w:t>
            </w:r>
            <w:r w:rsidRPr="00C101CE">
              <w:t> 9(5):1086-98.</w:t>
            </w:r>
          </w:p>
          <w:p w:rsidR="00AE6107" w:rsidRDefault="00AE6107" w:rsidP="00602F5E">
            <w:pPr>
              <w:pStyle w:val="NoSpacing"/>
              <w:spacing w:before="40" w:after="40" w:line="276" w:lineRule="auto"/>
              <w:ind w:left="318" w:hanging="318"/>
            </w:pPr>
          </w:p>
          <w:p w:rsidR="00AE6107" w:rsidRDefault="00AE6107" w:rsidP="00602F5E">
            <w:pPr>
              <w:pStyle w:val="NoSpacing"/>
              <w:spacing w:before="40" w:after="40" w:line="276" w:lineRule="auto"/>
              <w:ind w:left="318" w:hanging="318"/>
              <w:rPr>
                <w:rFonts w:ascii="Calibri" w:hAnsi="Calibri" w:cs="Calibri"/>
                <w:b/>
              </w:rPr>
            </w:pPr>
            <w:r>
              <w:t xml:space="preserve">3. </w:t>
            </w:r>
            <w:r w:rsidR="00602F5E">
              <w:tab/>
            </w:r>
            <w:r w:rsidRPr="00C101CE">
              <w:t xml:space="preserve">Steinhauser KE, Clipp EC, Bosworth HB, McNeilly M, Christakis NA, Voils CI, Tulsky JA (2004) Measuring quality of life at the end of life: validation of the QUAL-E. </w:t>
            </w:r>
            <w:r w:rsidRPr="004E6274">
              <w:rPr>
                <w:i/>
              </w:rPr>
              <w:t>Palliative and Supportive Care</w:t>
            </w:r>
            <w:r w:rsidRPr="00C101CE">
              <w:t xml:space="preserve"> 2(1):3-1</w:t>
            </w:r>
            <w:r w:rsidR="00602F5E">
              <w:t>.</w:t>
            </w:r>
          </w:p>
        </w:tc>
        <w:tc>
          <w:tcPr>
            <w:tcW w:w="425" w:type="dxa"/>
          </w:tcPr>
          <w:p w:rsidR="008845B3" w:rsidRDefault="008845B3" w:rsidP="00AE6107">
            <w:pPr>
              <w:pStyle w:val="NoSpacing"/>
              <w:spacing w:before="40" w:after="40"/>
              <w:jc w:val="both"/>
              <w:rPr>
                <w:rFonts w:ascii="Calibri" w:hAnsi="Calibri" w:cs="Calibri"/>
                <w:b/>
              </w:rPr>
            </w:pPr>
          </w:p>
        </w:tc>
        <w:tc>
          <w:tcPr>
            <w:tcW w:w="5160" w:type="dxa"/>
          </w:tcPr>
          <w:p w:rsidR="00602F5E" w:rsidRPr="00C101CE" w:rsidRDefault="00602F5E" w:rsidP="00602F5E">
            <w:pPr>
              <w:pStyle w:val="NoSpacing"/>
              <w:spacing w:before="40" w:after="40" w:line="276" w:lineRule="auto"/>
              <w:ind w:left="382" w:hanging="382"/>
            </w:pPr>
            <w:r>
              <w:t xml:space="preserve">4. </w:t>
            </w:r>
            <w:r>
              <w:tab/>
            </w:r>
            <w:r w:rsidRPr="00C101CE">
              <w:t xml:space="preserve">Spitzer RL, Kroenke K, Williams JB, et al (2006) A brief measure for assessing generalized anxiety disorder: the GAD-7. </w:t>
            </w:r>
            <w:r w:rsidRPr="004E6274">
              <w:rPr>
                <w:i/>
              </w:rPr>
              <w:t>Archives of Internal Medicine</w:t>
            </w:r>
            <w:r w:rsidRPr="00C101CE">
              <w:t xml:space="preserve"> 22;166 (10):1092-7.</w:t>
            </w:r>
          </w:p>
          <w:p w:rsidR="00AE6107" w:rsidRDefault="00AE6107" w:rsidP="00602F5E">
            <w:pPr>
              <w:pStyle w:val="NoSpacing"/>
              <w:spacing w:before="40" w:after="40" w:line="276" w:lineRule="auto"/>
              <w:ind w:left="382" w:hanging="382"/>
            </w:pPr>
          </w:p>
          <w:p w:rsidR="00AE6107" w:rsidRPr="00C101CE" w:rsidRDefault="00AE6107" w:rsidP="00602F5E">
            <w:pPr>
              <w:pStyle w:val="NoSpacing"/>
              <w:spacing w:before="40" w:after="40" w:line="276" w:lineRule="auto"/>
              <w:ind w:left="382" w:hanging="382"/>
            </w:pPr>
            <w:r>
              <w:t xml:space="preserve">5. </w:t>
            </w:r>
            <w:r w:rsidR="00602F5E">
              <w:tab/>
            </w:r>
            <w:r w:rsidRPr="00C101CE">
              <w:t>Spitzer RL, Kroenke K, Williams JBW (1999) Patient Health Questionnaire Study Group. Validity and utility of a self-report version of PRIME-MD: the PHQ Primary Care Study. </w:t>
            </w:r>
            <w:r w:rsidRPr="004E6274">
              <w:rPr>
                <w:i/>
              </w:rPr>
              <w:t>JAMA</w:t>
            </w:r>
            <w:r w:rsidRPr="00C101CE">
              <w:t xml:space="preserve"> 282:1737–44.</w:t>
            </w:r>
          </w:p>
          <w:p w:rsidR="00AE6107" w:rsidRDefault="00AE6107" w:rsidP="00602F5E">
            <w:pPr>
              <w:pStyle w:val="NoSpacing"/>
              <w:spacing w:before="40" w:after="40" w:line="276" w:lineRule="auto"/>
              <w:ind w:left="382" w:hanging="382"/>
            </w:pPr>
          </w:p>
          <w:p w:rsidR="00AE6107" w:rsidRDefault="00AE6107" w:rsidP="00602F5E">
            <w:pPr>
              <w:pStyle w:val="NoSpacing"/>
              <w:spacing w:before="40" w:after="40" w:line="276" w:lineRule="auto"/>
              <w:ind w:left="382" w:hanging="382"/>
            </w:pPr>
            <w:r>
              <w:t xml:space="preserve">6. </w:t>
            </w:r>
            <w:r w:rsidR="00602F5E">
              <w:tab/>
            </w:r>
            <w:r w:rsidRPr="00C101CE">
              <w:t>Spitzer RL, Williams JBW, Kroenke K, et al (2000) Validity and utility of the Patient Health Questionnaire in assessment of 3000 obstetric-gynecologic patients: the PRIME-MD Patient Health Questionnaire Obstetrics-Gynecology Study. </w:t>
            </w:r>
            <w:r w:rsidRPr="004E6274">
              <w:rPr>
                <w:i/>
              </w:rPr>
              <w:t>American Journal of Obstetric Gynecology</w:t>
            </w:r>
            <w:r w:rsidRPr="00C101CE">
              <w:t xml:space="preserve"> 183:759–69.</w:t>
            </w:r>
          </w:p>
          <w:p w:rsidR="00602F5E" w:rsidRPr="00C101CE" w:rsidRDefault="00602F5E" w:rsidP="00602F5E">
            <w:pPr>
              <w:pStyle w:val="NoSpacing"/>
              <w:spacing w:before="40" w:after="40" w:line="276" w:lineRule="auto"/>
              <w:ind w:left="382" w:hanging="382"/>
            </w:pPr>
          </w:p>
          <w:p w:rsidR="00AE6107" w:rsidRPr="00C101CE" w:rsidRDefault="00AE6107" w:rsidP="00602F5E">
            <w:pPr>
              <w:pStyle w:val="NoSpacing"/>
              <w:spacing w:before="40" w:after="40" w:line="276" w:lineRule="auto"/>
              <w:ind w:left="382" w:hanging="382"/>
            </w:pPr>
            <w:r>
              <w:t xml:space="preserve">7. </w:t>
            </w:r>
            <w:r w:rsidR="00602F5E">
              <w:tab/>
            </w:r>
            <w:r w:rsidRPr="00C101CE">
              <w:t xml:space="preserve">Mason S and Ellershaw JE (2004) Assessing undergraduate palliative care education: validity and reliability of two scales examining perceived efficacy and outcome expectancies in palliative care. </w:t>
            </w:r>
            <w:r w:rsidRPr="004E6274">
              <w:rPr>
                <w:i/>
              </w:rPr>
              <w:t>Medical Education</w:t>
            </w:r>
            <w:r w:rsidRPr="00C101CE">
              <w:t xml:space="preserve"> 2004; 38: 1103–1110.</w:t>
            </w:r>
          </w:p>
          <w:p w:rsidR="00AE6107" w:rsidRDefault="00AE6107" w:rsidP="00602F5E">
            <w:pPr>
              <w:pStyle w:val="NoSpacing"/>
              <w:spacing w:before="40" w:after="40" w:line="276" w:lineRule="auto"/>
              <w:ind w:left="382" w:hanging="382"/>
            </w:pPr>
          </w:p>
          <w:p w:rsidR="00AE6107" w:rsidRDefault="00AE6107" w:rsidP="00602F5E">
            <w:pPr>
              <w:pStyle w:val="NoSpacing"/>
              <w:spacing w:before="40" w:after="40" w:line="276" w:lineRule="auto"/>
              <w:ind w:left="382" w:hanging="382"/>
            </w:pPr>
            <w:r>
              <w:t xml:space="preserve">8. </w:t>
            </w:r>
            <w:r w:rsidR="00602F5E">
              <w:tab/>
            </w:r>
            <w:r w:rsidRPr="00C101CE">
              <w:t xml:space="preserve">Merrill J, </w:t>
            </w:r>
            <w:proofErr w:type="spellStart"/>
            <w:r w:rsidRPr="00C101CE">
              <w:t>Lorimor</w:t>
            </w:r>
            <w:proofErr w:type="spellEnd"/>
            <w:r w:rsidRPr="00C101CE">
              <w:t xml:space="preserve"> R, </w:t>
            </w:r>
            <w:proofErr w:type="spellStart"/>
            <w:r w:rsidRPr="00C101CE">
              <w:t>Thornby</w:t>
            </w:r>
            <w:proofErr w:type="spellEnd"/>
            <w:r w:rsidRPr="00C101CE">
              <w:t xml:space="preserve"> J, Woods A (1998) Caring for terminally ill persons: comparative analysis of attitudes (</w:t>
            </w:r>
            <w:proofErr w:type="spellStart"/>
            <w:r w:rsidRPr="00C101CE">
              <w:t>thanatophobia</w:t>
            </w:r>
            <w:proofErr w:type="spellEnd"/>
            <w:r w:rsidRPr="00C101CE">
              <w:t xml:space="preserve">) of </w:t>
            </w:r>
            <w:proofErr w:type="spellStart"/>
            <w:r w:rsidRPr="00C101CE">
              <w:t>practising</w:t>
            </w:r>
            <w:proofErr w:type="spellEnd"/>
            <w:r w:rsidRPr="00C101CE">
              <w:t xml:space="preserve"> physicians, student nurses and medical students. </w:t>
            </w:r>
            <w:r w:rsidRPr="004E6274">
              <w:rPr>
                <w:i/>
              </w:rPr>
              <w:t>Psychol</w:t>
            </w:r>
            <w:r>
              <w:rPr>
                <w:i/>
              </w:rPr>
              <w:t>ogical</w:t>
            </w:r>
            <w:r w:rsidRPr="004E6274">
              <w:rPr>
                <w:i/>
              </w:rPr>
              <w:t xml:space="preserve"> Rep</w:t>
            </w:r>
            <w:r>
              <w:rPr>
                <w:i/>
              </w:rPr>
              <w:t>orts</w:t>
            </w:r>
            <w:r w:rsidRPr="00C101CE">
              <w:t xml:space="preserve"> 83:123–8.</w:t>
            </w:r>
          </w:p>
          <w:p w:rsidR="00AE6107" w:rsidRDefault="00AE6107" w:rsidP="00AE6107">
            <w:pPr>
              <w:pStyle w:val="NoSpacing"/>
              <w:spacing w:before="40" w:after="40" w:line="276" w:lineRule="auto"/>
            </w:pPr>
          </w:p>
          <w:p w:rsidR="00AE6107" w:rsidRDefault="00AE6107" w:rsidP="00AE6107">
            <w:pPr>
              <w:pStyle w:val="NoSpacing"/>
              <w:spacing w:before="40" w:after="40" w:line="276" w:lineRule="auto"/>
            </w:pPr>
          </w:p>
          <w:p w:rsidR="008845B3" w:rsidRDefault="008845B3" w:rsidP="00AE6107">
            <w:pPr>
              <w:pStyle w:val="NoSpacing"/>
              <w:spacing w:before="40" w:after="40"/>
              <w:jc w:val="both"/>
              <w:rPr>
                <w:rFonts w:ascii="Calibri" w:hAnsi="Calibri" w:cs="Calibri"/>
                <w:b/>
              </w:rPr>
            </w:pPr>
          </w:p>
        </w:tc>
      </w:tr>
    </w:tbl>
    <w:p w:rsidR="00A4023C" w:rsidRDefault="00A4023C" w:rsidP="00602F5E">
      <w:pPr>
        <w:spacing w:before="120" w:after="120" w:line="240" w:lineRule="auto"/>
        <w:jc w:val="both"/>
        <w:rPr>
          <w:rFonts w:eastAsiaTheme="minorEastAsia"/>
          <w:b/>
          <w:lang w:eastAsia="en-GB"/>
        </w:rPr>
      </w:pPr>
    </w:p>
    <w:sectPr w:rsidR="00A4023C" w:rsidSect="007026DE">
      <w:pgSz w:w="12240" w:h="15840"/>
      <w:pgMar w:top="1440" w:right="1440" w:bottom="709" w:left="1440" w:header="720" w:footer="4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D6" w:rsidRDefault="005131D6" w:rsidP="005131D6">
      <w:pPr>
        <w:spacing w:after="0" w:line="240" w:lineRule="auto"/>
      </w:pPr>
      <w:r>
        <w:separator/>
      </w:r>
    </w:p>
  </w:endnote>
  <w:endnote w:type="continuationSeparator" w:id="0">
    <w:p w:rsidR="005131D6" w:rsidRDefault="005131D6" w:rsidP="0051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90564658"/>
      <w:docPartObj>
        <w:docPartGallery w:val="Page Numbers (Bottom of Page)"/>
        <w:docPartUnique/>
      </w:docPartObj>
    </w:sdtPr>
    <w:sdtEndPr>
      <w:rPr>
        <w:noProof/>
        <w:sz w:val="22"/>
        <w:szCs w:val="22"/>
      </w:rPr>
    </w:sdtEndPr>
    <w:sdtContent>
      <w:p w:rsidR="007026DE" w:rsidRPr="007026DE" w:rsidRDefault="006739BB" w:rsidP="007026DE">
        <w:pPr>
          <w:pStyle w:val="Footer"/>
          <w:rPr>
            <w:sz w:val="20"/>
          </w:rPr>
        </w:pPr>
        <w:r w:rsidRPr="006739BB">
          <w:rPr>
            <w:sz w:val="20"/>
            <w:szCs w:val="20"/>
          </w:rPr>
          <w:t>Summary Abstract</w:t>
        </w:r>
        <w:r w:rsidR="007026DE" w:rsidRPr="006739BB">
          <w:rPr>
            <w:sz w:val="20"/>
            <w:szCs w:val="20"/>
          </w:rPr>
          <w:t xml:space="preserve">: Interim Results for feasibility study </w:t>
        </w:r>
        <w:r w:rsidR="007026DE" w:rsidRPr="006739BB">
          <w:rPr>
            <w:sz w:val="20"/>
            <w:szCs w:val="20"/>
          </w:rPr>
          <w:tab/>
        </w:r>
        <w:r w:rsidR="007026DE">
          <w:rPr>
            <w:sz w:val="20"/>
          </w:rPr>
          <w:tab/>
        </w:r>
        <w:r w:rsidR="007026DE">
          <w:fldChar w:fldCharType="begin"/>
        </w:r>
        <w:r w:rsidR="007026DE">
          <w:instrText xml:space="preserve"> PAGE   \* MERGEFORMAT </w:instrText>
        </w:r>
        <w:r w:rsidR="007026DE">
          <w:fldChar w:fldCharType="separate"/>
        </w:r>
        <w:r w:rsidR="007A2DEA">
          <w:rPr>
            <w:noProof/>
          </w:rPr>
          <w:t>1</w:t>
        </w:r>
        <w:r w:rsidR="007026DE">
          <w:rPr>
            <w:noProof/>
          </w:rPr>
          <w:fldChar w:fldCharType="end"/>
        </w:r>
      </w:p>
    </w:sdtContent>
  </w:sdt>
  <w:p w:rsidR="007026DE" w:rsidRPr="007026DE" w:rsidRDefault="007026DE" w:rsidP="00702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D6" w:rsidRDefault="005131D6" w:rsidP="005131D6">
      <w:pPr>
        <w:spacing w:after="0" w:line="240" w:lineRule="auto"/>
      </w:pPr>
      <w:r>
        <w:separator/>
      </w:r>
    </w:p>
  </w:footnote>
  <w:footnote w:type="continuationSeparator" w:id="0">
    <w:p w:rsidR="005131D6" w:rsidRDefault="005131D6" w:rsidP="00513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6" w:rsidRDefault="005131D6">
    <w:pPr>
      <w:pStyle w:val="Header"/>
    </w:pPr>
    <w:r w:rsidRPr="00C50372">
      <w:rPr>
        <w:noProof/>
        <w:lang w:val="en-GB" w:eastAsia="en-GB"/>
      </w:rPr>
      <w:drawing>
        <wp:anchor distT="0" distB="0" distL="114300" distR="114300" simplePos="0" relativeHeight="251659264" behindDoc="1" locked="0" layoutInCell="1" allowOverlap="1" wp14:anchorId="29FA156D" wp14:editId="7A14B576">
          <wp:simplePos x="0" y="0"/>
          <wp:positionH relativeFrom="page">
            <wp:posOffset>0</wp:posOffset>
          </wp:positionH>
          <wp:positionV relativeFrom="page">
            <wp:posOffset>-38099</wp:posOffset>
          </wp:positionV>
          <wp:extent cx="1524000" cy="12985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221" cy="12987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94E"/>
    <w:multiLevelType w:val="hybridMultilevel"/>
    <w:tmpl w:val="FC6C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B6341"/>
    <w:multiLevelType w:val="hybridMultilevel"/>
    <w:tmpl w:val="0D2CC60A"/>
    <w:lvl w:ilvl="0" w:tplc="0B38D0D0">
      <w:start w:val="1"/>
      <w:numFmt w:val="bullet"/>
      <w:lvlText w:val=""/>
      <w:lvlJc w:val="left"/>
      <w:pPr>
        <w:ind w:left="720" w:hanging="360"/>
      </w:pPr>
      <w:rPr>
        <w:rFonts w:ascii="Symbol" w:hAnsi="Symbol" w:hint="default"/>
        <w:color w:val="0B5E67"/>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6249D"/>
    <w:multiLevelType w:val="hybridMultilevel"/>
    <w:tmpl w:val="EA845F86"/>
    <w:lvl w:ilvl="0" w:tplc="0B38D0D0">
      <w:start w:val="1"/>
      <w:numFmt w:val="bullet"/>
      <w:lvlText w:val=""/>
      <w:lvlJc w:val="left"/>
      <w:pPr>
        <w:ind w:left="360" w:hanging="360"/>
      </w:pPr>
      <w:rPr>
        <w:rFonts w:ascii="Symbol" w:hAnsi="Symbol" w:hint="default"/>
        <w:color w:val="0B5E67"/>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663638"/>
    <w:multiLevelType w:val="hybridMultilevel"/>
    <w:tmpl w:val="665AF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F01CED"/>
    <w:multiLevelType w:val="hybridMultilevel"/>
    <w:tmpl w:val="3020CBB6"/>
    <w:lvl w:ilvl="0" w:tplc="0B38D0D0">
      <w:start w:val="1"/>
      <w:numFmt w:val="bullet"/>
      <w:lvlText w:val=""/>
      <w:lvlJc w:val="left"/>
      <w:pPr>
        <w:ind w:left="720" w:hanging="360"/>
      </w:pPr>
      <w:rPr>
        <w:rFonts w:ascii="Symbol" w:hAnsi="Symbol" w:hint="default"/>
        <w:color w:val="0B5E67"/>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F2AC6"/>
    <w:multiLevelType w:val="hybridMultilevel"/>
    <w:tmpl w:val="80EC6932"/>
    <w:lvl w:ilvl="0" w:tplc="0B38D0D0">
      <w:start w:val="1"/>
      <w:numFmt w:val="bullet"/>
      <w:lvlText w:val=""/>
      <w:lvlJc w:val="left"/>
      <w:pPr>
        <w:ind w:left="720" w:hanging="360"/>
      </w:pPr>
      <w:rPr>
        <w:rFonts w:ascii="Symbol" w:hAnsi="Symbol" w:hint="default"/>
        <w:color w:val="0B5E67"/>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264602"/>
    <w:multiLevelType w:val="hybridMultilevel"/>
    <w:tmpl w:val="EDEE5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680129"/>
    <w:multiLevelType w:val="hybridMultilevel"/>
    <w:tmpl w:val="6CBC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7571F5"/>
    <w:multiLevelType w:val="hybridMultilevel"/>
    <w:tmpl w:val="3A70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686F79"/>
    <w:multiLevelType w:val="hybridMultilevel"/>
    <w:tmpl w:val="72664826"/>
    <w:lvl w:ilvl="0" w:tplc="0B38D0D0">
      <w:start w:val="1"/>
      <w:numFmt w:val="bullet"/>
      <w:lvlText w:val=""/>
      <w:lvlJc w:val="left"/>
      <w:pPr>
        <w:ind w:left="360" w:hanging="360"/>
      </w:pPr>
      <w:rPr>
        <w:rFonts w:ascii="Symbol" w:hAnsi="Symbol" w:hint="default"/>
        <w:color w:val="0B5E67"/>
        <w:u w:color="FFFFFF" w:themeColor="background1"/>
      </w:rPr>
    </w:lvl>
    <w:lvl w:ilvl="1" w:tplc="1B6E951C">
      <w:start w:val="1"/>
      <w:numFmt w:val="bullet"/>
      <w:lvlText w:val="­"/>
      <w:lvlJc w:val="left"/>
      <w:pPr>
        <w:ind w:left="1080" w:hanging="360"/>
      </w:pPr>
      <w:rPr>
        <w:rFonts w:ascii="Courier New" w:hAnsi="Courier New" w:hint="default"/>
        <w:b/>
        <w:i w:val="0"/>
        <w:color w:val="0B5E67"/>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5F5124B"/>
    <w:multiLevelType w:val="hybridMultilevel"/>
    <w:tmpl w:val="72C45EB6"/>
    <w:lvl w:ilvl="0" w:tplc="0B38D0D0">
      <w:start w:val="1"/>
      <w:numFmt w:val="bullet"/>
      <w:lvlText w:val=""/>
      <w:lvlJc w:val="left"/>
      <w:pPr>
        <w:ind w:left="720" w:hanging="360"/>
      </w:pPr>
      <w:rPr>
        <w:rFonts w:ascii="Symbol" w:hAnsi="Symbol" w:hint="default"/>
        <w:color w:val="0B5E67"/>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FB0090"/>
    <w:multiLevelType w:val="hybridMultilevel"/>
    <w:tmpl w:val="689C95B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3"/>
  </w:num>
  <w:num w:numId="6">
    <w:abstractNumId w:val="8"/>
  </w:num>
  <w:num w:numId="7">
    <w:abstractNumId w:val="11"/>
  </w:num>
  <w:num w:numId="8">
    <w:abstractNumId w:val="10"/>
  </w:num>
  <w:num w:numId="9">
    <w:abstractNumId w:val="1"/>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3C"/>
    <w:rsid w:val="00015702"/>
    <w:rsid w:val="0003483B"/>
    <w:rsid w:val="001F24D7"/>
    <w:rsid w:val="00336FB4"/>
    <w:rsid w:val="00361832"/>
    <w:rsid w:val="005131D6"/>
    <w:rsid w:val="00551EA3"/>
    <w:rsid w:val="00557B0B"/>
    <w:rsid w:val="00602F5E"/>
    <w:rsid w:val="0061730D"/>
    <w:rsid w:val="006739BB"/>
    <w:rsid w:val="007026DE"/>
    <w:rsid w:val="00792F79"/>
    <w:rsid w:val="007A2DEA"/>
    <w:rsid w:val="00864D66"/>
    <w:rsid w:val="008845B3"/>
    <w:rsid w:val="008A1300"/>
    <w:rsid w:val="008C0B15"/>
    <w:rsid w:val="008D6D88"/>
    <w:rsid w:val="009902DA"/>
    <w:rsid w:val="00A4023C"/>
    <w:rsid w:val="00AE4794"/>
    <w:rsid w:val="00AE6107"/>
    <w:rsid w:val="00B43F34"/>
    <w:rsid w:val="00C06330"/>
    <w:rsid w:val="00C26CA3"/>
    <w:rsid w:val="00E512A8"/>
    <w:rsid w:val="00E8508C"/>
    <w:rsid w:val="00EA6765"/>
    <w:rsid w:val="00F02085"/>
    <w:rsid w:val="00F2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023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4023C"/>
    <w:rPr>
      <w:rFonts w:eastAsiaTheme="minorEastAsia"/>
      <w:lang w:eastAsia="ja-JP"/>
    </w:rPr>
  </w:style>
  <w:style w:type="table" w:customStyle="1" w:styleId="ListTable4Accent5">
    <w:name w:val="List Table 4 Accent 5"/>
    <w:basedOn w:val="TableNormal"/>
    <w:uiPriority w:val="49"/>
    <w:rsid w:val="00A4023C"/>
    <w:pPr>
      <w:spacing w:after="0" w:line="240" w:lineRule="auto"/>
    </w:pPr>
    <w:rPr>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AE4794"/>
    <w:rPr>
      <w:color w:val="0000FF" w:themeColor="hyperlink"/>
      <w:u w:val="single"/>
    </w:rPr>
  </w:style>
  <w:style w:type="character" w:styleId="FollowedHyperlink">
    <w:name w:val="FollowedHyperlink"/>
    <w:basedOn w:val="DefaultParagraphFont"/>
    <w:uiPriority w:val="99"/>
    <w:semiHidden/>
    <w:unhideWhenUsed/>
    <w:rsid w:val="00AE4794"/>
    <w:rPr>
      <w:color w:val="800080" w:themeColor="followedHyperlink"/>
      <w:u w:val="single"/>
    </w:rPr>
  </w:style>
  <w:style w:type="paragraph" w:styleId="Header">
    <w:name w:val="header"/>
    <w:basedOn w:val="Normal"/>
    <w:link w:val="HeaderChar"/>
    <w:uiPriority w:val="99"/>
    <w:unhideWhenUsed/>
    <w:rsid w:val="00513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1D6"/>
  </w:style>
  <w:style w:type="paragraph" w:styleId="Footer">
    <w:name w:val="footer"/>
    <w:basedOn w:val="Normal"/>
    <w:link w:val="FooterChar"/>
    <w:uiPriority w:val="99"/>
    <w:unhideWhenUsed/>
    <w:rsid w:val="00513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1D6"/>
  </w:style>
  <w:style w:type="table" w:styleId="TableGrid">
    <w:name w:val="Table Grid"/>
    <w:basedOn w:val="TableNormal"/>
    <w:uiPriority w:val="59"/>
    <w:rsid w:val="0051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30D"/>
    <w:pPr>
      <w:ind w:left="720"/>
      <w:contextualSpacing/>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023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4023C"/>
    <w:rPr>
      <w:rFonts w:eastAsiaTheme="minorEastAsia"/>
      <w:lang w:eastAsia="ja-JP"/>
    </w:rPr>
  </w:style>
  <w:style w:type="table" w:customStyle="1" w:styleId="ListTable4Accent5">
    <w:name w:val="List Table 4 Accent 5"/>
    <w:basedOn w:val="TableNormal"/>
    <w:uiPriority w:val="49"/>
    <w:rsid w:val="00A4023C"/>
    <w:pPr>
      <w:spacing w:after="0" w:line="240" w:lineRule="auto"/>
    </w:pPr>
    <w:rPr>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AE4794"/>
    <w:rPr>
      <w:color w:val="0000FF" w:themeColor="hyperlink"/>
      <w:u w:val="single"/>
    </w:rPr>
  </w:style>
  <w:style w:type="character" w:styleId="FollowedHyperlink">
    <w:name w:val="FollowedHyperlink"/>
    <w:basedOn w:val="DefaultParagraphFont"/>
    <w:uiPriority w:val="99"/>
    <w:semiHidden/>
    <w:unhideWhenUsed/>
    <w:rsid w:val="00AE4794"/>
    <w:rPr>
      <w:color w:val="800080" w:themeColor="followedHyperlink"/>
      <w:u w:val="single"/>
    </w:rPr>
  </w:style>
  <w:style w:type="paragraph" w:styleId="Header">
    <w:name w:val="header"/>
    <w:basedOn w:val="Normal"/>
    <w:link w:val="HeaderChar"/>
    <w:uiPriority w:val="99"/>
    <w:unhideWhenUsed/>
    <w:rsid w:val="00513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1D6"/>
  </w:style>
  <w:style w:type="paragraph" w:styleId="Footer">
    <w:name w:val="footer"/>
    <w:basedOn w:val="Normal"/>
    <w:link w:val="FooterChar"/>
    <w:uiPriority w:val="99"/>
    <w:unhideWhenUsed/>
    <w:rsid w:val="00513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1D6"/>
  </w:style>
  <w:style w:type="table" w:styleId="TableGrid">
    <w:name w:val="Table Grid"/>
    <w:basedOn w:val="TableNormal"/>
    <w:uiPriority w:val="59"/>
    <w:rsid w:val="0051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30D"/>
    <w:pPr>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8786">
      <w:bodyDiv w:val="1"/>
      <w:marLeft w:val="0"/>
      <w:marRight w:val="0"/>
      <w:marTop w:val="0"/>
      <w:marBottom w:val="0"/>
      <w:divBdr>
        <w:top w:val="none" w:sz="0" w:space="0" w:color="auto"/>
        <w:left w:val="none" w:sz="0" w:space="0" w:color="auto"/>
        <w:bottom w:val="none" w:sz="0" w:space="0" w:color="auto"/>
        <w:right w:val="none" w:sz="0" w:space="0" w:color="auto"/>
      </w:divBdr>
    </w:div>
    <w:div w:id="17413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EB1D-3E93-414E-8E78-19D62A36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Karen Ross</cp:lastModifiedBy>
  <cp:revision>2</cp:revision>
  <dcterms:created xsi:type="dcterms:W3CDTF">2018-07-02T10:47:00Z</dcterms:created>
  <dcterms:modified xsi:type="dcterms:W3CDTF">2018-07-02T10:47:00Z</dcterms:modified>
</cp:coreProperties>
</file>