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D6" w:rsidRDefault="005131D6" w:rsidP="00A4023C">
      <w:pPr>
        <w:pStyle w:val="NoSpacing"/>
        <w:spacing w:before="120" w:after="120"/>
        <w:jc w:val="both"/>
        <w:rPr>
          <w:rFonts w:ascii="Calibri" w:hAnsi="Calibri" w:cs="Calibri"/>
          <w:b/>
        </w:rPr>
      </w:pPr>
    </w:p>
    <w:p w:rsidR="005131D6" w:rsidRDefault="005131D6" w:rsidP="00A4023C">
      <w:pPr>
        <w:pStyle w:val="NoSpacing"/>
        <w:spacing w:before="120" w:after="120"/>
        <w:jc w:val="both"/>
        <w:rPr>
          <w:rFonts w:ascii="Calibri" w:hAnsi="Calibri" w:cs="Calibri"/>
          <w:b/>
        </w:rPr>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418"/>
        <w:gridCol w:w="5036"/>
      </w:tblGrid>
      <w:tr w:rsidR="005131D6" w:rsidTr="005131D6">
        <w:tc>
          <w:tcPr>
            <w:tcW w:w="5160" w:type="dxa"/>
          </w:tcPr>
          <w:p w:rsidR="005131D6" w:rsidRPr="005131D6" w:rsidRDefault="00D90CAF" w:rsidP="00F21F9A">
            <w:pPr>
              <w:pStyle w:val="NoSpacing"/>
              <w:spacing w:before="40" w:after="40"/>
              <w:jc w:val="center"/>
              <w:rPr>
                <w:rFonts w:ascii="Calibri" w:hAnsi="Calibri" w:cs="Calibri"/>
                <w:b/>
                <w:color w:val="0B5E67"/>
              </w:rPr>
            </w:pPr>
            <w:r>
              <w:rPr>
                <w:rFonts w:ascii="Calibri" w:hAnsi="Calibri" w:cs="Calibri"/>
                <w:b/>
                <w:color w:val="0B5E67"/>
              </w:rPr>
              <w:t xml:space="preserve">Summary Abstract : </w:t>
            </w:r>
          </w:p>
          <w:p w:rsidR="005131D6" w:rsidRDefault="005131D6" w:rsidP="00F21F9A">
            <w:pPr>
              <w:pStyle w:val="NoSpacing"/>
              <w:spacing w:before="40" w:after="40"/>
              <w:jc w:val="center"/>
              <w:rPr>
                <w:rFonts w:ascii="Calibri" w:hAnsi="Calibri" w:cs="Calibri"/>
                <w:b/>
                <w:color w:val="0B5E67"/>
              </w:rPr>
            </w:pPr>
            <w:r w:rsidRPr="005131D6">
              <w:rPr>
                <w:rFonts w:ascii="Calibri" w:hAnsi="Calibri" w:cs="Calibri"/>
                <w:b/>
                <w:color w:val="0B5E67"/>
              </w:rPr>
              <w:t xml:space="preserve">UK  Conversation Guide Research </w:t>
            </w:r>
            <w:bookmarkStart w:id="0" w:name="_GoBack"/>
            <w:bookmarkEnd w:id="0"/>
          </w:p>
          <w:p w:rsidR="005131D6" w:rsidRDefault="005131D6" w:rsidP="00F21F9A">
            <w:pPr>
              <w:pStyle w:val="NoSpacing"/>
              <w:spacing w:before="40" w:after="40"/>
              <w:jc w:val="center"/>
              <w:rPr>
                <w:rFonts w:ascii="Calibri" w:hAnsi="Calibri" w:cs="Calibri"/>
                <w:b/>
                <w:color w:val="0B5E67"/>
              </w:rPr>
            </w:pPr>
          </w:p>
          <w:p w:rsidR="005131D6" w:rsidRDefault="00F21F9A" w:rsidP="00F21F9A">
            <w:pPr>
              <w:pStyle w:val="NoSpacing"/>
              <w:tabs>
                <w:tab w:val="left" w:pos="273"/>
              </w:tabs>
              <w:spacing w:before="40" w:after="40"/>
              <w:rPr>
                <w:rFonts w:ascii="Calibri" w:hAnsi="Calibri" w:cs="Calibri"/>
                <w:b/>
                <w:color w:val="0B5E67"/>
              </w:rPr>
            </w:pPr>
            <w:r>
              <w:rPr>
                <w:rFonts w:ascii="Calibri" w:hAnsi="Calibri" w:cs="Calibri"/>
                <w:b/>
                <w:color w:val="0B5E67"/>
              </w:rPr>
              <w:t>1.</w:t>
            </w:r>
            <w:r>
              <w:rPr>
                <w:rFonts w:ascii="Calibri" w:hAnsi="Calibri" w:cs="Calibri"/>
                <w:b/>
                <w:color w:val="0B5E67"/>
              </w:rPr>
              <w:tab/>
            </w:r>
            <w:r w:rsidR="005131D6" w:rsidRPr="005131D6">
              <w:rPr>
                <w:rFonts w:ascii="Calibri" w:hAnsi="Calibri" w:cs="Calibri"/>
                <w:b/>
                <w:color w:val="0B5E67"/>
              </w:rPr>
              <w:t xml:space="preserve">‘Face validity’, acceptability and relevance of the </w:t>
            </w:r>
            <w:r w:rsidR="005131D6" w:rsidRPr="005131D6">
              <w:rPr>
                <w:rFonts w:ascii="Calibri" w:hAnsi="Calibri" w:cs="Calibri"/>
                <w:b/>
                <w:color w:val="0B5E67"/>
              </w:rPr>
              <w:tab/>
              <w:t xml:space="preserve">Serious Illness Conversation Guide, for use within </w:t>
            </w:r>
            <w:r w:rsidR="005131D6" w:rsidRPr="005131D6">
              <w:rPr>
                <w:rFonts w:ascii="Calibri" w:hAnsi="Calibri" w:cs="Calibri"/>
                <w:b/>
                <w:color w:val="0B5E67"/>
              </w:rPr>
              <w:tab/>
              <w:t>the UK health care setting.</w:t>
            </w:r>
          </w:p>
          <w:p w:rsidR="005131D6" w:rsidRDefault="005131D6" w:rsidP="00F21F9A">
            <w:pPr>
              <w:pStyle w:val="NoSpacing"/>
              <w:tabs>
                <w:tab w:val="left" w:pos="318"/>
              </w:tabs>
              <w:spacing w:before="40" w:after="40"/>
              <w:rPr>
                <w:rFonts w:ascii="Calibri" w:hAnsi="Calibri" w:cs="Calibri"/>
              </w:rPr>
            </w:pPr>
            <w:r>
              <w:rPr>
                <w:rFonts w:ascii="Calibri" w:hAnsi="Calibri" w:cs="Calibri"/>
              </w:rPr>
              <w:t>The Serious Illness Conversation G</w:t>
            </w:r>
            <w:r w:rsidRPr="005E5B45">
              <w:rPr>
                <w:rFonts w:ascii="Calibri" w:hAnsi="Calibri" w:cs="Calibri"/>
              </w:rPr>
              <w:t xml:space="preserve">uide </w:t>
            </w:r>
            <w:r>
              <w:rPr>
                <w:rFonts w:ascii="Calibri" w:hAnsi="Calibri" w:cs="Calibri"/>
              </w:rPr>
              <w:t xml:space="preserve">(‘the guide’) </w:t>
            </w:r>
            <w:r w:rsidRPr="005E5B45">
              <w:rPr>
                <w:rFonts w:ascii="Calibri" w:hAnsi="Calibri" w:cs="Calibri"/>
              </w:rPr>
              <w:t xml:space="preserve">is </w:t>
            </w:r>
            <w:r>
              <w:rPr>
                <w:rFonts w:ascii="Calibri" w:hAnsi="Calibri" w:cs="Calibri"/>
              </w:rPr>
              <w:t>an</w:t>
            </w:r>
            <w:r w:rsidRPr="005E5B45">
              <w:rPr>
                <w:rFonts w:ascii="Calibri" w:hAnsi="Calibri" w:cs="Calibri"/>
              </w:rPr>
              <w:t xml:space="preserve"> evidence-based</w:t>
            </w:r>
            <w:r>
              <w:rPr>
                <w:rFonts w:ascii="Calibri" w:hAnsi="Calibri" w:cs="Calibri"/>
              </w:rPr>
              <w:t xml:space="preserve"> clinical </w:t>
            </w:r>
            <w:r w:rsidRPr="005E5B45">
              <w:rPr>
                <w:rFonts w:ascii="Calibri" w:hAnsi="Calibri" w:cs="Calibri"/>
              </w:rPr>
              <w:t>too</w:t>
            </w:r>
            <w:r>
              <w:rPr>
                <w:rFonts w:ascii="Calibri" w:hAnsi="Calibri" w:cs="Calibri"/>
              </w:rPr>
              <w:t>l</w:t>
            </w:r>
            <w:r w:rsidRPr="005E5B45">
              <w:rPr>
                <w:rFonts w:ascii="Calibri" w:hAnsi="Calibri" w:cs="Calibri"/>
              </w:rPr>
              <w:t xml:space="preserve"> </w:t>
            </w:r>
            <w:r>
              <w:rPr>
                <w:rFonts w:ascii="Calibri" w:hAnsi="Calibri" w:cs="Calibri"/>
              </w:rPr>
              <w:t>to support</w:t>
            </w:r>
            <w:r w:rsidRPr="005E5B45">
              <w:rPr>
                <w:rFonts w:ascii="Calibri" w:hAnsi="Calibri" w:cs="Calibri"/>
              </w:rPr>
              <w:t xml:space="preserve"> clinicians </w:t>
            </w:r>
            <w:r>
              <w:rPr>
                <w:rFonts w:ascii="Calibri" w:hAnsi="Calibri" w:cs="Calibri"/>
              </w:rPr>
              <w:t>to have focused conversations with their patients regarding current and future care. The aim of the conversation is to find out</w:t>
            </w:r>
            <w:r w:rsidRPr="005E5B45">
              <w:rPr>
                <w:rFonts w:ascii="Calibri" w:hAnsi="Calibri" w:cs="Calibri"/>
              </w:rPr>
              <w:t xml:space="preserve"> what matters most </w:t>
            </w:r>
            <w:r>
              <w:rPr>
                <w:rFonts w:ascii="Calibri" w:hAnsi="Calibri" w:cs="Calibri"/>
              </w:rPr>
              <w:t>to the patient in regards of their</w:t>
            </w:r>
            <w:r w:rsidRPr="005E5B45">
              <w:rPr>
                <w:rFonts w:ascii="Calibri" w:hAnsi="Calibri" w:cs="Calibri"/>
              </w:rPr>
              <w:t xml:space="preserve"> care</w:t>
            </w:r>
            <w:r>
              <w:rPr>
                <w:rFonts w:ascii="Calibri" w:hAnsi="Calibri" w:cs="Calibri"/>
              </w:rPr>
              <w:t>, and through this promote shared decision making</w:t>
            </w:r>
            <w:r w:rsidRPr="005E5B45">
              <w:rPr>
                <w:rFonts w:ascii="Calibri" w:hAnsi="Calibri" w:cs="Calibri"/>
              </w:rPr>
              <w:t xml:space="preserve">. </w:t>
            </w:r>
          </w:p>
          <w:p w:rsidR="005131D6" w:rsidRDefault="005131D6" w:rsidP="00F21F9A">
            <w:pPr>
              <w:pStyle w:val="NoSpacing"/>
              <w:tabs>
                <w:tab w:val="left" w:pos="318"/>
              </w:tabs>
              <w:spacing w:before="40" w:after="40"/>
              <w:rPr>
                <w:rFonts w:ascii="Calibri" w:hAnsi="Calibri" w:cs="Calibri"/>
              </w:rPr>
            </w:pPr>
            <w:r>
              <w:rPr>
                <w:rFonts w:ascii="Calibri" w:hAnsi="Calibri" w:cs="Calibri"/>
              </w:rPr>
              <w:t xml:space="preserve">Prior to pilot implementation of the Serious Illness Care Programme in the UK, work was required to assess whether the guide was appropriate for use in the UK setting. </w:t>
            </w:r>
          </w:p>
          <w:p w:rsidR="005131D6" w:rsidRPr="00864D66" w:rsidRDefault="005131D6" w:rsidP="00F21F9A">
            <w:pPr>
              <w:pStyle w:val="NoSpacing"/>
              <w:tabs>
                <w:tab w:val="left" w:pos="318"/>
              </w:tabs>
              <w:spacing w:before="40" w:after="40"/>
              <w:rPr>
                <w:rFonts w:ascii="Calibri" w:hAnsi="Calibri" w:cs="Calibri"/>
                <w:color w:val="0B5E67"/>
              </w:rPr>
            </w:pPr>
          </w:p>
          <w:p w:rsidR="005131D6" w:rsidRPr="00864D66" w:rsidRDefault="005131D6" w:rsidP="00F21F9A">
            <w:pPr>
              <w:pStyle w:val="NoSpacing"/>
              <w:tabs>
                <w:tab w:val="left" w:pos="318"/>
              </w:tabs>
              <w:spacing w:before="40" w:after="40"/>
              <w:rPr>
                <w:b/>
                <w:color w:val="0B5E67"/>
              </w:rPr>
            </w:pPr>
            <w:r w:rsidRPr="00864D66">
              <w:rPr>
                <w:b/>
                <w:color w:val="0B5E67"/>
              </w:rPr>
              <w:t>2.</w:t>
            </w:r>
            <w:r w:rsidRPr="00864D66">
              <w:rPr>
                <w:b/>
                <w:color w:val="0B5E67"/>
              </w:rPr>
              <w:tab/>
              <w:t>RESEARCH AIM</w:t>
            </w:r>
          </w:p>
          <w:p w:rsidR="005131D6" w:rsidRDefault="005131D6" w:rsidP="00F21F9A">
            <w:pPr>
              <w:pStyle w:val="NoSpacing"/>
              <w:spacing w:before="40" w:after="40"/>
            </w:pPr>
            <w:r>
              <w:t>T</w:t>
            </w:r>
            <w:r w:rsidRPr="00B87B32">
              <w:t>o</w:t>
            </w:r>
            <w:r>
              <w:t xml:space="preserve"> examine the ‘face validity’,</w:t>
            </w:r>
            <w:r w:rsidRPr="00725385">
              <w:t xml:space="preserve"> </w:t>
            </w:r>
            <w:r>
              <w:t>acceptability and relevance</w:t>
            </w:r>
            <w:r w:rsidRPr="00725385">
              <w:t xml:space="preserve"> </w:t>
            </w:r>
            <w:r>
              <w:t>of the Serious Illness Conversation Guide</w:t>
            </w:r>
            <w:r w:rsidRPr="00725385">
              <w:t xml:space="preserve"> for use within the UK health care </w:t>
            </w:r>
            <w:r>
              <w:t>setting</w:t>
            </w:r>
            <w:r w:rsidRPr="00725385">
              <w:t xml:space="preserve">. </w:t>
            </w:r>
          </w:p>
          <w:p w:rsidR="00F21F9A" w:rsidRDefault="00F21F9A" w:rsidP="00F21F9A">
            <w:pPr>
              <w:pStyle w:val="NoSpacing"/>
              <w:spacing w:before="40" w:after="40"/>
            </w:pPr>
          </w:p>
          <w:p w:rsidR="00F21F9A" w:rsidRPr="00F21F9A" w:rsidRDefault="00F21F9A" w:rsidP="00F21F9A">
            <w:pPr>
              <w:pStyle w:val="NoSpacing"/>
              <w:tabs>
                <w:tab w:val="left" w:pos="318"/>
              </w:tabs>
              <w:spacing w:before="40" w:after="40"/>
              <w:jc w:val="both"/>
              <w:rPr>
                <w:color w:val="0B5E67"/>
              </w:rPr>
            </w:pPr>
            <w:r w:rsidRPr="00F21F9A">
              <w:rPr>
                <w:b/>
                <w:color w:val="0B5E67"/>
              </w:rPr>
              <w:t>3.</w:t>
            </w:r>
            <w:r w:rsidRPr="00F21F9A">
              <w:rPr>
                <w:b/>
                <w:color w:val="0B5E67"/>
              </w:rPr>
              <w:tab/>
              <w:t>METHODOLOGY</w:t>
            </w:r>
          </w:p>
          <w:p w:rsidR="00F21F9A" w:rsidRDefault="00F21F9A" w:rsidP="00F21F9A">
            <w:pPr>
              <w:pStyle w:val="NoSpacing"/>
              <w:spacing w:before="40" w:after="40"/>
            </w:pPr>
            <w:r>
              <w:t>A mixed methods approach was taken, engaging with a</w:t>
            </w:r>
            <w:r w:rsidRPr="00A97788">
              <w:t xml:space="preserve"> wide range of stake</w:t>
            </w:r>
            <w:r>
              <w:t>holders, including healthcare professionals and members of a patient and public involvement (PPI) group from within The Clatterbridge Cancer Centre.</w:t>
            </w:r>
          </w:p>
          <w:p w:rsidR="00F21F9A" w:rsidRDefault="00F21F9A" w:rsidP="00F21F9A">
            <w:pPr>
              <w:pStyle w:val="NoSpacing"/>
              <w:spacing w:before="40" w:after="40"/>
            </w:pPr>
            <w:r>
              <w:t>The research was structured as follows:</w:t>
            </w:r>
          </w:p>
          <w:p w:rsidR="00F21F9A" w:rsidRDefault="00F21F9A" w:rsidP="00F21F9A">
            <w:pPr>
              <w:pStyle w:val="NoSpacing"/>
              <w:spacing w:before="40" w:after="40"/>
            </w:pPr>
          </w:p>
          <w:p w:rsidR="00F21F9A" w:rsidRPr="00F21F9A" w:rsidRDefault="00F21F9A" w:rsidP="00F21F9A">
            <w:pPr>
              <w:pStyle w:val="NoSpacing"/>
              <w:spacing w:before="40" w:after="40"/>
              <w:jc w:val="both"/>
              <w:rPr>
                <w:b/>
                <w:i/>
                <w:color w:val="F9B437"/>
              </w:rPr>
            </w:pPr>
            <w:r w:rsidRPr="00F21F9A">
              <w:rPr>
                <w:b/>
                <w:i/>
                <w:color w:val="F9B437"/>
              </w:rPr>
              <w:t>Stage 1 - Nominal Group</w:t>
            </w:r>
          </w:p>
          <w:p w:rsidR="005131D6" w:rsidRDefault="00F21F9A" w:rsidP="00F21F9A">
            <w:pPr>
              <w:pStyle w:val="NoSpacing"/>
              <w:spacing w:before="40" w:after="40"/>
              <w:jc w:val="both"/>
              <w:rPr>
                <w:rFonts w:ascii="Calibri" w:hAnsi="Calibri" w:cs="Calibri"/>
                <w:b/>
              </w:rPr>
            </w:pPr>
            <w:r>
              <w:t>Nominal Group Technique (</w:t>
            </w:r>
            <w:r w:rsidRPr="004B708E">
              <w:t>NGT</w:t>
            </w:r>
            <w:proofErr w:type="gramStart"/>
            <w:r>
              <w:t>)</w:t>
            </w:r>
            <w:r w:rsidRPr="00551EA3">
              <w:rPr>
                <w:vertAlign w:val="superscript"/>
              </w:rPr>
              <w:t>1</w:t>
            </w:r>
            <w:proofErr w:type="gramEnd"/>
            <w:r>
              <w:t xml:space="preserve"> was used </w:t>
            </w:r>
            <w:r w:rsidRPr="004B708E">
              <w:t>to reach consensus</w:t>
            </w:r>
            <w:r>
              <w:t>, comprising 3 expert groups of healthcare professionals; with expertise in Oncology, Palliative Care and Communication Skills.</w:t>
            </w:r>
          </w:p>
        </w:tc>
        <w:tc>
          <w:tcPr>
            <w:tcW w:w="425" w:type="dxa"/>
          </w:tcPr>
          <w:p w:rsidR="005131D6" w:rsidRDefault="005131D6" w:rsidP="00F21F9A">
            <w:pPr>
              <w:pStyle w:val="NoSpacing"/>
              <w:spacing w:before="40" w:after="40"/>
              <w:jc w:val="both"/>
              <w:rPr>
                <w:rFonts w:ascii="Calibri" w:hAnsi="Calibri" w:cs="Calibri"/>
                <w:b/>
              </w:rPr>
            </w:pPr>
          </w:p>
        </w:tc>
        <w:tc>
          <w:tcPr>
            <w:tcW w:w="5160" w:type="dxa"/>
          </w:tcPr>
          <w:p w:rsidR="00F21F9A" w:rsidRPr="00F21F9A" w:rsidRDefault="00F21F9A" w:rsidP="00F21F9A">
            <w:pPr>
              <w:pStyle w:val="NoSpacing"/>
              <w:spacing w:before="120" w:after="120"/>
              <w:jc w:val="both"/>
              <w:rPr>
                <w:b/>
                <w:i/>
                <w:color w:val="F9B437"/>
              </w:rPr>
            </w:pPr>
            <w:r w:rsidRPr="00F21F9A">
              <w:rPr>
                <w:b/>
                <w:i/>
                <w:color w:val="F9B437"/>
              </w:rPr>
              <w:t xml:space="preserve">Stage 2 - Cognitive Interviewing </w:t>
            </w:r>
          </w:p>
          <w:p w:rsidR="00F21F9A" w:rsidRDefault="00F21F9A" w:rsidP="00F21F9A">
            <w:pPr>
              <w:pStyle w:val="NoSpacing"/>
              <w:spacing w:before="120" w:after="120"/>
            </w:pPr>
            <w:r>
              <w:t>Cognitive interviews</w:t>
            </w:r>
            <w:proofErr w:type="gramStart"/>
            <w:r>
              <w:t>,</w:t>
            </w:r>
            <w:r w:rsidRPr="00551EA3">
              <w:rPr>
                <w:vertAlign w:val="superscript"/>
              </w:rPr>
              <w:t>2,3</w:t>
            </w:r>
            <w:proofErr w:type="gramEnd"/>
            <w:r>
              <w:t xml:space="preserve"> specifically using the ‘think aloud’ technique,</w:t>
            </w:r>
            <w:r w:rsidRPr="00551EA3">
              <w:rPr>
                <w:vertAlign w:val="superscript"/>
              </w:rPr>
              <w:t>4</w:t>
            </w:r>
            <w:r>
              <w:t xml:space="preserve"> were conducted on a one to one basis, </w:t>
            </w:r>
            <w:r w:rsidRPr="00EA62D5">
              <w:t xml:space="preserve">to understand how </w:t>
            </w:r>
            <w:r>
              <w:t>participants</w:t>
            </w:r>
            <w:r w:rsidRPr="00EA62D5">
              <w:t xml:space="preserve"> perceive and interpret </w:t>
            </w:r>
            <w:r>
              <w:t xml:space="preserve">the prompts within the Guide.  </w:t>
            </w:r>
          </w:p>
          <w:p w:rsidR="00F21F9A" w:rsidRPr="00F21F9A" w:rsidRDefault="00F21F9A" w:rsidP="00F21F9A">
            <w:pPr>
              <w:pStyle w:val="NoSpacing"/>
              <w:spacing w:before="120" w:after="120"/>
              <w:rPr>
                <w:b/>
                <w:i/>
                <w:color w:val="F9B437"/>
              </w:rPr>
            </w:pPr>
            <w:r w:rsidRPr="00F21F9A">
              <w:rPr>
                <w:b/>
                <w:i/>
                <w:color w:val="F9B437"/>
              </w:rPr>
              <w:t xml:space="preserve">Stage 3 – Final Stakeholder Review and Consensus of the Serious Illness Care Guide </w:t>
            </w:r>
          </w:p>
          <w:p w:rsidR="00F21F9A" w:rsidRDefault="00F21F9A" w:rsidP="00F21F9A">
            <w:pPr>
              <w:pStyle w:val="NoSpacing"/>
              <w:spacing w:before="120" w:after="120"/>
              <w:rPr>
                <w:b/>
              </w:rPr>
            </w:pPr>
            <w:bookmarkStart w:id="1" w:name="_Hlk490233294"/>
            <w:r>
              <w:t>Multiple stakeholders, including representatives from the Patient Council and NHS England reviewed</w:t>
            </w:r>
            <w:r w:rsidRPr="002E7446">
              <w:t xml:space="preserve"> results from the </w:t>
            </w:r>
            <w:r>
              <w:t>Nominal Group and Cognitive Interviews b</w:t>
            </w:r>
            <w:r w:rsidRPr="002E7446">
              <w:t xml:space="preserve">efore </w:t>
            </w:r>
            <w:r>
              <w:t xml:space="preserve">we achieved </w:t>
            </w:r>
            <w:r w:rsidRPr="002E7446">
              <w:t xml:space="preserve">final agreement on amendments to the </w:t>
            </w:r>
            <w:r>
              <w:t>G</w:t>
            </w:r>
            <w:r w:rsidRPr="002E7446">
              <w:t>uide</w:t>
            </w:r>
            <w:r>
              <w:t>.</w:t>
            </w:r>
            <w:bookmarkEnd w:id="1"/>
          </w:p>
          <w:p w:rsidR="00F21F9A" w:rsidRDefault="00F21F9A" w:rsidP="00F21F9A">
            <w:pPr>
              <w:pStyle w:val="NoSpacing"/>
              <w:spacing w:before="120" w:after="120"/>
              <w:jc w:val="both"/>
              <w:rPr>
                <w:b/>
              </w:rPr>
            </w:pPr>
          </w:p>
          <w:p w:rsidR="00F21F9A" w:rsidRPr="00F21F9A" w:rsidRDefault="00F21F9A" w:rsidP="00F21F9A">
            <w:pPr>
              <w:pStyle w:val="NoSpacing"/>
              <w:tabs>
                <w:tab w:val="left" w:pos="536"/>
              </w:tabs>
              <w:spacing w:before="120" w:after="120"/>
              <w:jc w:val="both"/>
              <w:rPr>
                <w:b/>
                <w:color w:val="0B5E67"/>
              </w:rPr>
            </w:pPr>
            <w:r w:rsidRPr="00F21F9A">
              <w:rPr>
                <w:b/>
                <w:color w:val="0B5E67"/>
              </w:rPr>
              <w:t>4.</w:t>
            </w:r>
            <w:r w:rsidRPr="00F21F9A">
              <w:rPr>
                <w:b/>
                <w:color w:val="0B5E67"/>
              </w:rPr>
              <w:tab/>
              <w:t>RESULTS</w:t>
            </w:r>
          </w:p>
          <w:p w:rsidR="00F21F9A" w:rsidRPr="00F21F9A" w:rsidRDefault="00F21F9A" w:rsidP="00F21F9A">
            <w:pPr>
              <w:rPr>
                <w:b/>
                <w:i/>
                <w:color w:val="F9B437"/>
              </w:rPr>
            </w:pPr>
            <w:r w:rsidRPr="00F21F9A">
              <w:rPr>
                <w:b/>
                <w:i/>
                <w:color w:val="F9B437"/>
              </w:rPr>
              <w:t>Stage 1 - Nominal Group</w:t>
            </w:r>
          </w:p>
          <w:p w:rsidR="00F21F9A" w:rsidRDefault="00F21F9A" w:rsidP="00F21F9A">
            <w:pPr>
              <w:pStyle w:val="NoSpacing"/>
              <w:jc w:val="both"/>
            </w:pPr>
            <w:r>
              <w:t xml:space="preserve">Fourteen </w:t>
            </w:r>
            <w:r w:rsidRPr="00EC66DE">
              <w:t>p</w:t>
            </w:r>
            <w:r>
              <w:t>articipants attended:</w:t>
            </w:r>
          </w:p>
          <w:p w:rsidR="00F21F9A" w:rsidRDefault="00F21F9A" w:rsidP="008845B3">
            <w:pPr>
              <w:pStyle w:val="NoSpacing"/>
              <w:numPr>
                <w:ilvl w:val="0"/>
                <w:numId w:val="3"/>
              </w:numPr>
              <w:ind w:left="406" w:hanging="406"/>
              <w:jc w:val="both"/>
            </w:pPr>
            <w:r>
              <w:t>5 oncology consultants</w:t>
            </w:r>
          </w:p>
          <w:p w:rsidR="00F21F9A" w:rsidRDefault="00F21F9A" w:rsidP="008845B3">
            <w:pPr>
              <w:pStyle w:val="NoSpacing"/>
              <w:numPr>
                <w:ilvl w:val="0"/>
                <w:numId w:val="3"/>
              </w:numPr>
              <w:ind w:left="406" w:hanging="406"/>
              <w:jc w:val="both"/>
            </w:pPr>
            <w:r>
              <w:t>4 palliative care experts: 3 palliative care consultants, 1 Specialist Trainee in palliative care</w:t>
            </w:r>
          </w:p>
          <w:p w:rsidR="00F21F9A" w:rsidRDefault="00F21F9A" w:rsidP="008845B3">
            <w:pPr>
              <w:pStyle w:val="NoSpacing"/>
              <w:numPr>
                <w:ilvl w:val="0"/>
                <w:numId w:val="3"/>
              </w:numPr>
              <w:ind w:left="406" w:hanging="406"/>
              <w:jc w:val="both"/>
            </w:pPr>
            <w:r>
              <w:t>4 communication skills experts: 3 Senior Lecturers in communication skills; 1 palliative care consultant and communication skills lecturer</w:t>
            </w:r>
          </w:p>
          <w:p w:rsidR="00F21F9A" w:rsidRDefault="00F21F9A" w:rsidP="00F21F9A">
            <w:pPr>
              <w:pStyle w:val="NoSpacing"/>
              <w:jc w:val="both"/>
            </w:pPr>
          </w:p>
          <w:p w:rsidR="00F21F9A" w:rsidRDefault="00F21F9A" w:rsidP="00F21F9A">
            <w:pPr>
              <w:pStyle w:val="NoSpacing"/>
              <w:jc w:val="both"/>
            </w:pPr>
            <w:r>
              <w:t>Consensus gained:</w:t>
            </w:r>
          </w:p>
          <w:p w:rsidR="00F21F9A" w:rsidRDefault="00F21F9A" w:rsidP="008845B3">
            <w:pPr>
              <w:pStyle w:val="NoSpacing"/>
              <w:numPr>
                <w:ilvl w:val="0"/>
                <w:numId w:val="8"/>
              </w:numPr>
              <w:ind w:left="398" w:hanging="398"/>
              <w:jc w:val="both"/>
            </w:pPr>
            <w:r>
              <w:t>Conversation guide could provide support for clinicians to initiate difficult conversations with patients with serious illness</w:t>
            </w:r>
          </w:p>
          <w:p w:rsidR="00F21F9A" w:rsidRDefault="00F21F9A" w:rsidP="008845B3">
            <w:pPr>
              <w:pStyle w:val="NoSpacing"/>
              <w:numPr>
                <w:ilvl w:val="0"/>
                <w:numId w:val="8"/>
              </w:numPr>
              <w:ind w:left="398" w:hanging="398"/>
              <w:jc w:val="both"/>
            </w:pPr>
            <w:r>
              <w:t>Minimal amendments to wording suggested however final changes to be put forward following Cognitive Interviews with Patient and Public Representatives.</w:t>
            </w:r>
          </w:p>
          <w:p w:rsidR="005131D6" w:rsidRDefault="005131D6" w:rsidP="00F21F9A">
            <w:pPr>
              <w:pStyle w:val="NoSpacing"/>
              <w:spacing w:before="40" w:after="40"/>
              <w:jc w:val="both"/>
              <w:rPr>
                <w:rFonts w:ascii="Calibri" w:hAnsi="Calibri" w:cs="Calibri"/>
                <w:b/>
              </w:rPr>
            </w:pPr>
          </w:p>
        </w:tc>
      </w:tr>
    </w:tbl>
    <w:p w:rsidR="008845B3" w:rsidRDefault="008845B3" w:rsidP="00AE4794">
      <w:pPr>
        <w:pStyle w:val="NoSpacing"/>
        <w:jc w:val="both"/>
        <w:sectPr w:rsidR="008845B3" w:rsidSect="00D90CAF">
          <w:headerReference w:type="default" r:id="rId9"/>
          <w:footerReference w:type="default" r:id="rId10"/>
          <w:pgSz w:w="12240" w:h="15840"/>
          <w:pgMar w:top="1440" w:right="1440" w:bottom="1135" w:left="1440" w:header="720" w:footer="274" w:gutter="0"/>
          <w:cols w:space="720"/>
          <w:docGrid w:linePitch="360"/>
        </w:sectPr>
      </w:pPr>
    </w:p>
    <w:p w:rsidR="00B43F34" w:rsidRDefault="00B43F34" w:rsidP="00AE4794">
      <w:pPr>
        <w:pStyle w:val="NoSpacing"/>
        <w:jc w:val="both"/>
      </w:pPr>
    </w:p>
    <w:p w:rsidR="008845B3" w:rsidRDefault="008845B3" w:rsidP="00AE4794">
      <w:pPr>
        <w:pStyle w:val="NoSpacing"/>
        <w:jc w:val="both"/>
      </w:pPr>
    </w:p>
    <w:p w:rsidR="008845B3" w:rsidRDefault="008845B3" w:rsidP="00AE4794">
      <w:pPr>
        <w:pStyle w:val="NoSpacing"/>
        <w:jc w:val="both"/>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418"/>
        <w:gridCol w:w="5036"/>
      </w:tblGrid>
      <w:tr w:rsidR="008845B3" w:rsidTr="00923CE9">
        <w:tc>
          <w:tcPr>
            <w:tcW w:w="5160" w:type="dxa"/>
          </w:tcPr>
          <w:p w:rsidR="008845B3" w:rsidRPr="008845B3" w:rsidRDefault="008845B3" w:rsidP="008845B3">
            <w:pPr>
              <w:pStyle w:val="NoSpacing"/>
              <w:spacing w:before="40" w:after="40"/>
              <w:jc w:val="both"/>
              <w:rPr>
                <w:b/>
                <w:i/>
                <w:color w:val="F9B437"/>
              </w:rPr>
            </w:pPr>
            <w:r w:rsidRPr="008845B3">
              <w:rPr>
                <w:b/>
                <w:i/>
                <w:color w:val="F9B437"/>
              </w:rPr>
              <w:t>Stage 2 - Cognitive Interviews</w:t>
            </w:r>
          </w:p>
          <w:p w:rsidR="008845B3" w:rsidRDefault="008845B3" w:rsidP="008845B3">
            <w:pPr>
              <w:pStyle w:val="NoSpacing"/>
              <w:spacing w:before="40" w:after="40"/>
            </w:pPr>
            <w:r>
              <w:t>Six Patient and Public Representatives took part in the cognitive interviews. Overall, participants felt the guide was a useful ‘conversation piece’, promoting a ‘partnership’ approach to care planning, empowering patients to talk about what is most important for their future care:</w:t>
            </w:r>
          </w:p>
          <w:p w:rsidR="008845B3" w:rsidRDefault="008845B3" w:rsidP="008845B3">
            <w:pPr>
              <w:pStyle w:val="NoSpacing"/>
              <w:numPr>
                <w:ilvl w:val="0"/>
                <w:numId w:val="9"/>
              </w:numPr>
              <w:spacing w:before="40" w:after="40"/>
              <w:ind w:left="360"/>
            </w:pPr>
            <w:r>
              <w:t>Participants valued the attention to the patients ‘holistic’ needs as an individual, rather than exclusively focusing on their ‘disease’</w:t>
            </w:r>
          </w:p>
          <w:p w:rsidR="008845B3" w:rsidRDefault="008845B3" w:rsidP="008845B3">
            <w:pPr>
              <w:pStyle w:val="NoSpacing"/>
              <w:numPr>
                <w:ilvl w:val="0"/>
                <w:numId w:val="9"/>
              </w:numPr>
              <w:spacing w:before="40" w:after="40"/>
              <w:ind w:left="360"/>
            </w:pPr>
            <w:r>
              <w:t xml:space="preserve">Education and training is </w:t>
            </w:r>
            <w:proofErr w:type="gramStart"/>
            <w:r>
              <w:t>key</w:t>
            </w:r>
            <w:proofErr w:type="gramEnd"/>
            <w:r>
              <w:t>; participants had concerns that use of the guide could create an artificial ‘interview’ situation. Clinicians will require skill to incorporate prompts into a ‘natural’ conversation</w:t>
            </w:r>
          </w:p>
          <w:p w:rsidR="008845B3" w:rsidRDefault="008845B3" w:rsidP="008845B3">
            <w:pPr>
              <w:pStyle w:val="NoSpacing"/>
              <w:numPr>
                <w:ilvl w:val="0"/>
                <w:numId w:val="9"/>
              </w:numPr>
              <w:spacing w:before="40" w:after="40"/>
              <w:ind w:left="360"/>
            </w:pPr>
            <w:r>
              <w:t xml:space="preserve">All participants agreed the final phrase in the guide, “we’re in this together”, could undermine the patient </w:t>
            </w:r>
            <w:proofErr w:type="spellStart"/>
            <w:r>
              <w:t>centred</w:t>
            </w:r>
            <w:proofErr w:type="spellEnd"/>
            <w:r>
              <w:t xml:space="preserve"> aim: consensus that this prompt be removed.</w:t>
            </w:r>
          </w:p>
          <w:p w:rsidR="008845B3" w:rsidRPr="008845B3" w:rsidRDefault="008845B3" w:rsidP="008845B3">
            <w:pPr>
              <w:pStyle w:val="NoSpacing"/>
              <w:spacing w:before="40" w:after="40"/>
              <w:jc w:val="both"/>
              <w:rPr>
                <w:color w:val="0B5E67"/>
              </w:rPr>
            </w:pPr>
          </w:p>
          <w:p w:rsidR="008845B3" w:rsidRPr="008845B3" w:rsidRDefault="008845B3" w:rsidP="008845B3">
            <w:pPr>
              <w:pStyle w:val="NoSpacing"/>
              <w:tabs>
                <w:tab w:val="left" w:pos="318"/>
              </w:tabs>
              <w:spacing w:before="40" w:after="40"/>
              <w:jc w:val="both"/>
              <w:rPr>
                <w:b/>
                <w:color w:val="0B5E67"/>
              </w:rPr>
            </w:pPr>
            <w:r w:rsidRPr="008845B3">
              <w:rPr>
                <w:b/>
                <w:color w:val="0B5E67"/>
              </w:rPr>
              <w:t>5.</w:t>
            </w:r>
            <w:r w:rsidRPr="008845B3">
              <w:rPr>
                <w:b/>
                <w:color w:val="0B5E67"/>
              </w:rPr>
              <w:tab/>
              <w:t>Conclusion</w:t>
            </w:r>
          </w:p>
          <w:p w:rsidR="008845B3" w:rsidRDefault="008845B3" w:rsidP="008845B3">
            <w:pPr>
              <w:pStyle w:val="NoSpacing"/>
              <w:spacing w:before="40" w:after="40"/>
            </w:pPr>
            <w:r>
              <w:t xml:space="preserve">Results suggested that, pending modifications informed by cognitive interviews, the </w:t>
            </w:r>
            <w:r w:rsidRPr="00EC66DE">
              <w:t xml:space="preserve">guide would </w:t>
            </w:r>
            <w:r>
              <w:t>effectively</w:t>
            </w:r>
            <w:r w:rsidRPr="00EC66DE">
              <w:t xml:space="preserve"> support clinicians </w:t>
            </w:r>
            <w:r>
              <w:t>in</w:t>
            </w:r>
            <w:r w:rsidRPr="00EC66DE">
              <w:t xml:space="preserve"> initiat</w:t>
            </w:r>
            <w:r>
              <w:t>ing</w:t>
            </w:r>
            <w:r w:rsidRPr="00EC66DE">
              <w:t xml:space="preserve"> </w:t>
            </w:r>
            <w:r>
              <w:t xml:space="preserve">high quality serious illness </w:t>
            </w:r>
            <w:r w:rsidRPr="00EC66DE">
              <w:t>conversations.</w:t>
            </w:r>
            <w:r w:rsidRPr="008A1300">
              <w:t xml:space="preserve"> </w:t>
            </w:r>
            <w:r w:rsidRPr="00AE4794">
              <w:t xml:space="preserve">Although the guide, and the </w:t>
            </w:r>
            <w:proofErr w:type="spellStart"/>
            <w:r w:rsidRPr="00AE4794">
              <w:t>programme</w:t>
            </w:r>
            <w:proofErr w:type="spellEnd"/>
            <w:r w:rsidRPr="00AE4794">
              <w:t xml:space="preserve"> as a whole, was viewed as a potentially positive intervention, robust research and evaluation on its effect was recommended and that further evaluation of the efficacy of the guide in clinical practice should be conducted prior to any local or national ‘roll out’.</w:t>
            </w:r>
          </w:p>
          <w:p w:rsidR="008845B3" w:rsidRDefault="008845B3" w:rsidP="008845B3">
            <w:pPr>
              <w:pStyle w:val="NoSpacing"/>
              <w:spacing w:before="40" w:after="40"/>
              <w:jc w:val="both"/>
              <w:rPr>
                <w:rFonts w:ascii="Calibri" w:hAnsi="Calibri" w:cs="Calibri"/>
                <w:b/>
              </w:rPr>
            </w:pPr>
          </w:p>
        </w:tc>
        <w:tc>
          <w:tcPr>
            <w:tcW w:w="425" w:type="dxa"/>
          </w:tcPr>
          <w:p w:rsidR="008845B3" w:rsidRDefault="008845B3" w:rsidP="008845B3">
            <w:pPr>
              <w:pStyle w:val="NoSpacing"/>
              <w:spacing w:before="40" w:after="40"/>
              <w:jc w:val="both"/>
              <w:rPr>
                <w:rFonts w:ascii="Calibri" w:hAnsi="Calibri" w:cs="Calibri"/>
                <w:b/>
              </w:rPr>
            </w:pPr>
          </w:p>
        </w:tc>
        <w:tc>
          <w:tcPr>
            <w:tcW w:w="5160" w:type="dxa"/>
          </w:tcPr>
          <w:p w:rsidR="008845B3" w:rsidRPr="008845B3" w:rsidRDefault="008845B3" w:rsidP="008845B3">
            <w:pPr>
              <w:tabs>
                <w:tab w:val="left" w:pos="448"/>
              </w:tabs>
              <w:spacing w:before="40" w:after="40"/>
              <w:jc w:val="both"/>
              <w:rPr>
                <w:rFonts w:eastAsiaTheme="minorEastAsia"/>
                <w:b/>
                <w:color w:val="0B5E67"/>
                <w:lang w:eastAsia="en-GB"/>
              </w:rPr>
            </w:pPr>
            <w:r w:rsidRPr="008845B3">
              <w:rPr>
                <w:rFonts w:eastAsiaTheme="minorEastAsia"/>
                <w:b/>
                <w:color w:val="0B5E67"/>
                <w:lang w:eastAsia="en-GB"/>
              </w:rPr>
              <w:t>6.</w:t>
            </w:r>
            <w:r w:rsidRPr="008845B3">
              <w:rPr>
                <w:rFonts w:eastAsiaTheme="minorEastAsia"/>
                <w:b/>
                <w:color w:val="0B5E67"/>
                <w:lang w:eastAsia="en-GB"/>
              </w:rPr>
              <w:tab/>
              <w:t>REFERENCES</w:t>
            </w:r>
          </w:p>
          <w:p w:rsidR="008845B3" w:rsidRDefault="008845B3" w:rsidP="008845B3">
            <w:pPr>
              <w:pStyle w:val="NoSpacing"/>
              <w:spacing w:before="40" w:after="40"/>
              <w:ind w:left="392" w:hanging="392"/>
            </w:pPr>
            <w:r>
              <w:t xml:space="preserve">1. </w:t>
            </w:r>
            <w:r>
              <w:tab/>
            </w:r>
            <w:proofErr w:type="spellStart"/>
            <w:r>
              <w:t>Delbecq</w:t>
            </w:r>
            <w:proofErr w:type="spellEnd"/>
            <w:r>
              <w:t xml:space="preserve">, A. L., Van de </w:t>
            </w:r>
            <w:proofErr w:type="spellStart"/>
            <w:r>
              <w:t>Ven</w:t>
            </w:r>
            <w:proofErr w:type="spellEnd"/>
            <w:r>
              <w:t>, A. H. (1971) ‘</w:t>
            </w:r>
            <w:r w:rsidRPr="002B3226">
              <w:t>A Group Process Model For Problem Identification and Program Planning</w:t>
            </w:r>
            <w:r>
              <w:t xml:space="preserve">’, </w:t>
            </w:r>
            <w:r w:rsidRPr="002B3226">
              <w:rPr>
                <w:i/>
              </w:rPr>
              <w:t>The Journal of Applied Behavioral Science</w:t>
            </w:r>
            <w:r>
              <w:t xml:space="preserve"> 7(4): 465-492.</w:t>
            </w:r>
          </w:p>
          <w:p w:rsidR="008845B3" w:rsidRDefault="008845B3" w:rsidP="008845B3">
            <w:pPr>
              <w:pStyle w:val="NoSpacing"/>
              <w:spacing w:before="40" w:after="40"/>
              <w:ind w:left="392" w:hanging="392"/>
            </w:pPr>
          </w:p>
          <w:p w:rsidR="008845B3" w:rsidRDefault="008845B3" w:rsidP="008845B3">
            <w:pPr>
              <w:pStyle w:val="NoSpacing"/>
              <w:spacing w:before="40" w:after="40"/>
              <w:ind w:left="392" w:hanging="392"/>
            </w:pPr>
            <w:r>
              <w:t xml:space="preserve">2. </w:t>
            </w:r>
            <w:r>
              <w:tab/>
            </w:r>
            <w:r w:rsidRPr="00CF7610">
              <w:t>Presser</w:t>
            </w:r>
            <w:r>
              <w:t>,</w:t>
            </w:r>
            <w:r w:rsidRPr="00CF7610">
              <w:t xml:space="preserve"> S</w:t>
            </w:r>
            <w:r>
              <w:t>.,</w:t>
            </w:r>
            <w:r w:rsidRPr="00CF7610">
              <w:t xml:space="preserve"> </w:t>
            </w:r>
            <w:proofErr w:type="spellStart"/>
            <w:r w:rsidRPr="00A74388">
              <w:t>Couper</w:t>
            </w:r>
            <w:proofErr w:type="spellEnd"/>
            <w:r>
              <w:t>, M.P.</w:t>
            </w:r>
            <w:proofErr w:type="gramStart"/>
            <w:r>
              <w:t>,</w:t>
            </w:r>
            <w:r w:rsidRPr="00A74388">
              <w:t xml:space="preserve">  </w:t>
            </w:r>
            <w:proofErr w:type="spellStart"/>
            <w:r w:rsidRPr="00A74388">
              <w:t>Lessler</w:t>
            </w:r>
            <w:proofErr w:type="spellEnd"/>
            <w:proofErr w:type="gramEnd"/>
            <w:r>
              <w:t>, J.T.,</w:t>
            </w:r>
            <w:r w:rsidRPr="00A74388">
              <w:t xml:space="preserve">  Martin</w:t>
            </w:r>
            <w:r>
              <w:t>, E.,</w:t>
            </w:r>
            <w:r w:rsidRPr="00A74388">
              <w:t xml:space="preserve">  Martin</w:t>
            </w:r>
            <w:r>
              <w:t>, J.,</w:t>
            </w:r>
            <w:r w:rsidRPr="00A74388">
              <w:t xml:space="preserve"> </w:t>
            </w:r>
            <w:proofErr w:type="spellStart"/>
            <w:r w:rsidRPr="00A74388">
              <w:t>Rothgeb</w:t>
            </w:r>
            <w:proofErr w:type="spellEnd"/>
            <w:r>
              <w:t>, J.M.,</w:t>
            </w:r>
            <w:r w:rsidRPr="00A74388">
              <w:t xml:space="preserve">  </w:t>
            </w:r>
            <w:r>
              <w:t xml:space="preserve">and </w:t>
            </w:r>
            <w:r w:rsidRPr="00A74388">
              <w:t>Singer</w:t>
            </w:r>
            <w:r>
              <w:t xml:space="preserve">, E. </w:t>
            </w:r>
            <w:r w:rsidRPr="00CF7610">
              <w:t xml:space="preserve">(2004) </w:t>
            </w:r>
            <w:r>
              <w:t>‘</w:t>
            </w:r>
            <w:r w:rsidRPr="00CF7610">
              <w:t>Methods for Testing and Evaluating Survey Questions</w:t>
            </w:r>
            <w:r>
              <w:t>’,</w:t>
            </w:r>
            <w:r w:rsidRPr="00CF7610">
              <w:t xml:space="preserve"> </w:t>
            </w:r>
            <w:r w:rsidRPr="00A74388">
              <w:rPr>
                <w:i/>
              </w:rPr>
              <w:t>Public Opinion Quarterly</w:t>
            </w:r>
            <w:r>
              <w:rPr>
                <w:i/>
              </w:rPr>
              <w:t>,</w:t>
            </w:r>
            <w:r>
              <w:t xml:space="preserve"> 68(1): pp. 109-130.</w:t>
            </w:r>
          </w:p>
          <w:p w:rsidR="008845B3" w:rsidRDefault="008845B3" w:rsidP="008845B3">
            <w:pPr>
              <w:pStyle w:val="NoSpacing"/>
              <w:spacing w:before="40" w:after="40"/>
              <w:ind w:left="392" w:hanging="392"/>
              <w:rPr>
                <w:bCs/>
                <w:iCs/>
              </w:rPr>
            </w:pPr>
          </w:p>
          <w:p w:rsidR="008845B3" w:rsidRPr="00CF7610" w:rsidRDefault="008845B3" w:rsidP="008845B3">
            <w:pPr>
              <w:pStyle w:val="NoSpacing"/>
              <w:spacing w:before="40" w:after="40"/>
              <w:ind w:left="392" w:hanging="392"/>
              <w:rPr>
                <w:bCs/>
                <w:iCs/>
              </w:rPr>
            </w:pPr>
            <w:r>
              <w:rPr>
                <w:bCs/>
                <w:iCs/>
              </w:rPr>
              <w:t xml:space="preserve">3. </w:t>
            </w:r>
            <w:r>
              <w:rPr>
                <w:bCs/>
                <w:iCs/>
              </w:rPr>
              <w:tab/>
            </w:r>
            <w:proofErr w:type="spellStart"/>
            <w:r>
              <w:rPr>
                <w:bCs/>
                <w:iCs/>
              </w:rPr>
              <w:t>Campanelli</w:t>
            </w:r>
            <w:proofErr w:type="spellEnd"/>
            <w:r>
              <w:rPr>
                <w:bCs/>
                <w:iCs/>
              </w:rPr>
              <w:t>, P. (</w:t>
            </w:r>
            <w:r w:rsidRPr="00CF7610">
              <w:rPr>
                <w:bCs/>
                <w:iCs/>
              </w:rPr>
              <w:t>1997</w:t>
            </w:r>
            <w:r>
              <w:rPr>
                <w:bCs/>
                <w:iCs/>
              </w:rPr>
              <w:t>) ‘</w:t>
            </w:r>
            <w:r w:rsidRPr="00CF7610">
              <w:rPr>
                <w:bCs/>
                <w:iCs/>
              </w:rPr>
              <w:t>Testing Survey Questions: New Directions in</w:t>
            </w:r>
            <w:r w:rsidRPr="00CF7610">
              <w:rPr>
                <w:bCs/>
                <w:i/>
                <w:iCs/>
              </w:rPr>
              <w:t xml:space="preserve"> </w:t>
            </w:r>
            <w:r w:rsidRPr="00CF7610">
              <w:rPr>
                <w:bCs/>
                <w:iCs/>
              </w:rPr>
              <w:t>Cognitive Interviewing</w:t>
            </w:r>
            <w:r>
              <w:rPr>
                <w:bCs/>
                <w:iCs/>
              </w:rPr>
              <w:t>’</w:t>
            </w:r>
            <w:r w:rsidRPr="00995443">
              <w:rPr>
                <w:bCs/>
                <w:i/>
                <w:iCs/>
              </w:rPr>
              <w:t xml:space="preserve">, Bulletin de </w:t>
            </w:r>
            <w:proofErr w:type="spellStart"/>
            <w:r w:rsidRPr="00995443">
              <w:rPr>
                <w:bCs/>
                <w:i/>
                <w:iCs/>
              </w:rPr>
              <w:t>Méthodologie</w:t>
            </w:r>
            <w:proofErr w:type="spellEnd"/>
            <w:r w:rsidRPr="00995443">
              <w:rPr>
                <w:bCs/>
                <w:i/>
                <w:iCs/>
              </w:rPr>
              <w:t xml:space="preserve"> </w:t>
            </w:r>
            <w:proofErr w:type="spellStart"/>
            <w:r w:rsidRPr="00995443">
              <w:rPr>
                <w:bCs/>
                <w:i/>
                <w:iCs/>
              </w:rPr>
              <w:t>Sociologique</w:t>
            </w:r>
            <w:proofErr w:type="spellEnd"/>
            <w:r>
              <w:rPr>
                <w:bCs/>
                <w:i/>
                <w:iCs/>
              </w:rPr>
              <w:t>,</w:t>
            </w:r>
            <w:r>
              <w:rPr>
                <w:bCs/>
                <w:iCs/>
              </w:rPr>
              <w:t xml:space="preserve"> </w:t>
            </w:r>
            <w:r w:rsidRPr="00467DD1">
              <w:rPr>
                <w:bCs/>
                <w:iCs/>
              </w:rPr>
              <w:t>55</w:t>
            </w:r>
            <w:r>
              <w:rPr>
                <w:bCs/>
                <w:iCs/>
              </w:rPr>
              <w:t>(1): pp. 5-17.</w:t>
            </w:r>
          </w:p>
          <w:p w:rsidR="008845B3" w:rsidRDefault="008845B3" w:rsidP="008845B3">
            <w:pPr>
              <w:pStyle w:val="NoSpacing"/>
              <w:spacing w:before="40" w:after="40"/>
              <w:ind w:left="392" w:hanging="392"/>
            </w:pPr>
          </w:p>
          <w:p w:rsidR="008845B3" w:rsidRPr="00551EA3" w:rsidRDefault="008845B3" w:rsidP="008845B3">
            <w:pPr>
              <w:pStyle w:val="NoSpacing"/>
              <w:spacing w:before="40" w:after="40"/>
              <w:ind w:left="392" w:hanging="392"/>
            </w:pPr>
            <w:r>
              <w:t xml:space="preserve">4. </w:t>
            </w:r>
            <w:r>
              <w:tab/>
            </w:r>
            <w:proofErr w:type="spellStart"/>
            <w:r w:rsidRPr="00CF7610">
              <w:t>Czaja</w:t>
            </w:r>
            <w:proofErr w:type="spellEnd"/>
            <w:r>
              <w:t>,</w:t>
            </w:r>
            <w:r w:rsidRPr="00CF7610">
              <w:t xml:space="preserve"> R</w:t>
            </w:r>
            <w:r>
              <w:t>.</w:t>
            </w:r>
            <w:r w:rsidRPr="00CF7610">
              <w:t xml:space="preserve"> (1998) </w:t>
            </w:r>
            <w:r>
              <w:t>‘</w:t>
            </w:r>
            <w:r w:rsidRPr="00CF7610">
              <w:t>Questionnaire pre-testing comes of age</w:t>
            </w:r>
            <w:r>
              <w:t>’,</w:t>
            </w:r>
            <w:r w:rsidRPr="00CF7610">
              <w:t xml:space="preserve"> </w:t>
            </w:r>
            <w:r w:rsidRPr="00995443">
              <w:rPr>
                <w:i/>
              </w:rPr>
              <w:t>Marketing Bulletin</w:t>
            </w:r>
            <w:r>
              <w:rPr>
                <w:i/>
              </w:rPr>
              <w:t>,</w:t>
            </w:r>
            <w:r w:rsidRPr="00CF7610">
              <w:t xml:space="preserve"> 9: </w:t>
            </w:r>
            <w:r>
              <w:t xml:space="preserve">pp. </w:t>
            </w:r>
            <w:r w:rsidRPr="00CF7610">
              <w:t>52–66</w:t>
            </w:r>
            <w:r>
              <w:t>.</w:t>
            </w:r>
          </w:p>
          <w:p w:rsidR="008845B3" w:rsidRDefault="008845B3" w:rsidP="008845B3">
            <w:pPr>
              <w:pStyle w:val="NoSpacing"/>
              <w:spacing w:before="40" w:after="40"/>
              <w:jc w:val="both"/>
              <w:rPr>
                <w:rFonts w:ascii="Calibri" w:hAnsi="Calibri" w:cs="Calibri"/>
                <w:b/>
              </w:rPr>
            </w:pPr>
          </w:p>
        </w:tc>
      </w:tr>
    </w:tbl>
    <w:p w:rsidR="008845B3" w:rsidRDefault="008845B3" w:rsidP="00AE4794">
      <w:pPr>
        <w:pStyle w:val="NoSpacing"/>
        <w:jc w:val="both"/>
      </w:pPr>
    </w:p>
    <w:p w:rsidR="008845B3" w:rsidRDefault="008845B3" w:rsidP="00AE4794">
      <w:pPr>
        <w:pStyle w:val="NoSpacing"/>
        <w:jc w:val="both"/>
      </w:pPr>
    </w:p>
    <w:p w:rsidR="008845B3" w:rsidRDefault="008845B3" w:rsidP="00AE4794">
      <w:pPr>
        <w:pStyle w:val="NoSpacing"/>
        <w:jc w:val="both"/>
      </w:pPr>
    </w:p>
    <w:p w:rsidR="008845B3" w:rsidRDefault="008845B3" w:rsidP="00AE4794">
      <w:pPr>
        <w:pStyle w:val="NoSpacing"/>
        <w:jc w:val="both"/>
      </w:pPr>
    </w:p>
    <w:p w:rsidR="008845B3" w:rsidRDefault="008845B3" w:rsidP="00AE4794">
      <w:pPr>
        <w:pStyle w:val="NoSpacing"/>
        <w:jc w:val="both"/>
      </w:pPr>
    </w:p>
    <w:p w:rsidR="008845B3" w:rsidRDefault="008845B3" w:rsidP="00AE4794">
      <w:pPr>
        <w:pStyle w:val="NoSpacing"/>
        <w:jc w:val="both"/>
      </w:pPr>
    </w:p>
    <w:p w:rsidR="00A4023C" w:rsidRDefault="00A4023C" w:rsidP="00A4023C">
      <w:pPr>
        <w:spacing w:before="120" w:after="120" w:line="240" w:lineRule="auto"/>
        <w:jc w:val="both"/>
        <w:rPr>
          <w:rFonts w:eastAsiaTheme="minorEastAsia"/>
          <w:b/>
          <w:lang w:eastAsia="en-GB"/>
        </w:rPr>
      </w:pPr>
    </w:p>
    <w:sectPr w:rsidR="00A4023C" w:rsidSect="00D90CAF">
      <w:pgSz w:w="12240" w:h="15840"/>
      <w:pgMar w:top="1440" w:right="1440" w:bottom="1135" w:left="1440"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D6" w:rsidRDefault="005131D6" w:rsidP="005131D6">
      <w:pPr>
        <w:spacing w:after="0" w:line="240" w:lineRule="auto"/>
      </w:pPr>
      <w:r>
        <w:separator/>
      </w:r>
    </w:p>
  </w:endnote>
  <w:endnote w:type="continuationSeparator" w:id="0">
    <w:p w:rsidR="005131D6" w:rsidRDefault="005131D6" w:rsidP="0051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872510"/>
      <w:docPartObj>
        <w:docPartGallery w:val="Page Numbers (Bottom of Page)"/>
        <w:docPartUnique/>
      </w:docPartObj>
    </w:sdtPr>
    <w:sdtEndPr>
      <w:rPr>
        <w:noProof/>
      </w:rPr>
    </w:sdtEndPr>
    <w:sdtContent>
      <w:p w:rsidR="00D90CAF" w:rsidRPr="00D90CAF" w:rsidRDefault="00D90CAF" w:rsidP="00D90CAF">
        <w:pPr>
          <w:pStyle w:val="Footer"/>
          <w:rPr>
            <w:sz w:val="20"/>
          </w:rPr>
        </w:pPr>
        <w:r>
          <w:rPr>
            <w:sz w:val="20"/>
          </w:rPr>
          <w:t>Summary Abstract</w:t>
        </w:r>
        <w:r>
          <w:rPr>
            <w:sz w:val="20"/>
          </w:rPr>
          <w:t xml:space="preserve">: </w:t>
        </w:r>
        <w:r w:rsidRPr="00F21F9A">
          <w:rPr>
            <w:sz w:val="20"/>
          </w:rPr>
          <w:t>Se</w:t>
        </w:r>
        <w:r>
          <w:rPr>
            <w:sz w:val="20"/>
          </w:rPr>
          <w:t>rious Illness Care Programme UK</w:t>
        </w:r>
        <w:r>
          <w:rPr>
            <w:sz w:val="20"/>
          </w:rPr>
          <w:tab/>
        </w:r>
        <w:r>
          <w:rPr>
            <w:sz w:val="20"/>
          </w:rPr>
          <w:tab/>
        </w:r>
        <w:r>
          <w:fldChar w:fldCharType="begin"/>
        </w:r>
        <w:r>
          <w:instrText xml:space="preserve"> PAGE   \* MERGEFORMAT </w:instrText>
        </w:r>
        <w:r>
          <w:fldChar w:fldCharType="separate"/>
        </w:r>
        <w:r>
          <w:rPr>
            <w:noProof/>
          </w:rPr>
          <w:t>1</w:t>
        </w:r>
        <w:r>
          <w:rPr>
            <w:noProof/>
          </w:rPr>
          <w:fldChar w:fldCharType="end"/>
        </w:r>
      </w:p>
    </w:sdtContent>
  </w:sdt>
  <w:p w:rsidR="00F21F9A" w:rsidRPr="00D90CAF" w:rsidRDefault="00F21F9A" w:rsidP="00D9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D6" w:rsidRDefault="005131D6" w:rsidP="005131D6">
      <w:pPr>
        <w:spacing w:after="0" w:line="240" w:lineRule="auto"/>
      </w:pPr>
      <w:r>
        <w:separator/>
      </w:r>
    </w:p>
  </w:footnote>
  <w:footnote w:type="continuationSeparator" w:id="0">
    <w:p w:rsidR="005131D6" w:rsidRDefault="005131D6" w:rsidP="00513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6" w:rsidRDefault="005131D6">
    <w:pPr>
      <w:pStyle w:val="Header"/>
    </w:pPr>
    <w:r w:rsidRPr="00C50372">
      <w:rPr>
        <w:noProof/>
        <w:lang w:val="en-GB" w:eastAsia="en-GB"/>
      </w:rPr>
      <w:drawing>
        <wp:anchor distT="0" distB="0" distL="114300" distR="114300" simplePos="0" relativeHeight="251659264" behindDoc="1" locked="0" layoutInCell="1" allowOverlap="1" wp14:anchorId="0524E11D" wp14:editId="72DCCB42">
          <wp:simplePos x="0" y="0"/>
          <wp:positionH relativeFrom="page">
            <wp:posOffset>0</wp:posOffset>
          </wp:positionH>
          <wp:positionV relativeFrom="page">
            <wp:posOffset>-38099</wp:posOffset>
          </wp:positionV>
          <wp:extent cx="1524000" cy="12985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221" cy="12987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94E"/>
    <w:multiLevelType w:val="hybridMultilevel"/>
    <w:tmpl w:val="FC6C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B6341"/>
    <w:multiLevelType w:val="hybridMultilevel"/>
    <w:tmpl w:val="0D2CC60A"/>
    <w:lvl w:ilvl="0" w:tplc="0B38D0D0">
      <w:start w:val="1"/>
      <w:numFmt w:val="bullet"/>
      <w:lvlText w:val=""/>
      <w:lvlJc w:val="left"/>
      <w:pPr>
        <w:ind w:left="720" w:hanging="360"/>
      </w:pPr>
      <w:rPr>
        <w:rFonts w:ascii="Symbol" w:hAnsi="Symbol" w:hint="default"/>
        <w:color w:val="0B5E67"/>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63638"/>
    <w:multiLevelType w:val="hybridMultilevel"/>
    <w:tmpl w:val="665AF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F01CED"/>
    <w:multiLevelType w:val="hybridMultilevel"/>
    <w:tmpl w:val="3020CBB6"/>
    <w:lvl w:ilvl="0" w:tplc="0B38D0D0">
      <w:start w:val="1"/>
      <w:numFmt w:val="bullet"/>
      <w:lvlText w:val=""/>
      <w:lvlJc w:val="left"/>
      <w:pPr>
        <w:ind w:left="720" w:hanging="360"/>
      </w:pPr>
      <w:rPr>
        <w:rFonts w:ascii="Symbol" w:hAnsi="Symbol" w:hint="default"/>
        <w:color w:val="0B5E67"/>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64602"/>
    <w:multiLevelType w:val="hybridMultilevel"/>
    <w:tmpl w:val="EDEE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680129"/>
    <w:multiLevelType w:val="hybridMultilevel"/>
    <w:tmpl w:val="6CBC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571F5"/>
    <w:multiLevelType w:val="hybridMultilevel"/>
    <w:tmpl w:val="3A7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5124B"/>
    <w:multiLevelType w:val="hybridMultilevel"/>
    <w:tmpl w:val="72C45EB6"/>
    <w:lvl w:ilvl="0" w:tplc="0B38D0D0">
      <w:start w:val="1"/>
      <w:numFmt w:val="bullet"/>
      <w:lvlText w:val=""/>
      <w:lvlJc w:val="left"/>
      <w:pPr>
        <w:ind w:left="720" w:hanging="360"/>
      </w:pPr>
      <w:rPr>
        <w:rFonts w:ascii="Symbol" w:hAnsi="Symbol" w:hint="default"/>
        <w:color w:val="0B5E67"/>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FB0090"/>
    <w:multiLevelType w:val="hybridMultilevel"/>
    <w:tmpl w:val="689C95B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C"/>
    <w:rsid w:val="00015702"/>
    <w:rsid w:val="0003483B"/>
    <w:rsid w:val="001F24D7"/>
    <w:rsid w:val="00336FB4"/>
    <w:rsid w:val="00361832"/>
    <w:rsid w:val="005131D6"/>
    <w:rsid w:val="00551EA3"/>
    <w:rsid w:val="00557B0B"/>
    <w:rsid w:val="00792F79"/>
    <w:rsid w:val="00864D66"/>
    <w:rsid w:val="008845B3"/>
    <w:rsid w:val="008A1300"/>
    <w:rsid w:val="008C0B15"/>
    <w:rsid w:val="008D6D88"/>
    <w:rsid w:val="009902DA"/>
    <w:rsid w:val="00A4023C"/>
    <w:rsid w:val="00AE4794"/>
    <w:rsid w:val="00B43F34"/>
    <w:rsid w:val="00C06330"/>
    <w:rsid w:val="00C26CA3"/>
    <w:rsid w:val="00D90CAF"/>
    <w:rsid w:val="00E512A8"/>
    <w:rsid w:val="00E8508C"/>
    <w:rsid w:val="00F02085"/>
    <w:rsid w:val="00F2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2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023C"/>
    <w:rPr>
      <w:rFonts w:eastAsiaTheme="minorEastAsia"/>
      <w:lang w:eastAsia="ja-JP"/>
    </w:rPr>
  </w:style>
  <w:style w:type="table" w:customStyle="1" w:styleId="ListTable4Accent5">
    <w:name w:val="List Table 4 Accent 5"/>
    <w:basedOn w:val="TableNormal"/>
    <w:uiPriority w:val="49"/>
    <w:rsid w:val="00A4023C"/>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AE4794"/>
    <w:rPr>
      <w:color w:val="0000FF" w:themeColor="hyperlink"/>
      <w:u w:val="single"/>
    </w:rPr>
  </w:style>
  <w:style w:type="character" w:styleId="FollowedHyperlink">
    <w:name w:val="FollowedHyperlink"/>
    <w:basedOn w:val="DefaultParagraphFont"/>
    <w:uiPriority w:val="99"/>
    <w:semiHidden/>
    <w:unhideWhenUsed/>
    <w:rsid w:val="00AE4794"/>
    <w:rPr>
      <w:color w:val="800080" w:themeColor="followedHyperlink"/>
      <w:u w:val="single"/>
    </w:rPr>
  </w:style>
  <w:style w:type="paragraph" w:styleId="Header">
    <w:name w:val="header"/>
    <w:basedOn w:val="Normal"/>
    <w:link w:val="HeaderChar"/>
    <w:uiPriority w:val="99"/>
    <w:unhideWhenUsed/>
    <w:rsid w:val="0051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1D6"/>
  </w:style>
  <w:style w:type="paragraph" w:styleId="Footer">
    <w:name w:val="footer"/>
    <w:basedOn w:val="Normal"/>
    <w:link w:val="FooterChar"/>
    <w:uiPriority w:val="99"/>
    <w:unhideWhenUsed/>
    <w:rsid w:val="0051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1D6"/>
  </w:style>
  <w:style w:type="table" w:styleId="TableGrid">
    <w:name w:val="Table Grid"/>
    <w:basedOn w:val="TableNormal"/>
    <w:uiPriority w:val="59"/>
    <w:rsid w:val="0051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02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023C"/>
    <w:rPr>
      <w:rFonts w:eastAsiaTheme="minorEastAsia"/>
      <w:lang w:eastAsia="ja-JP"/>
    </w:rPr>
  </w:style>
  <w:style w:type="table" w:customStyle="1" w:styleId="ListTable4Accent5">
    <w:name w:val="List Table 4 Accent 5"/>
    <w:basedOn w:val="TableNormal"/>
    <w:uiPriority w:val="49"/>
    <w:rsid w:val="00A4023C"/>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AE4794"/>
    <w:rPr>
      <w:color w:val="0000FF" w:themeColor="hyperlink"/>
      <w:u w:val="single"/>
    </w:rPr>
  </w:style>
  <w:style w:type="character" w:styleId="FollowedHyperlink">
    <w:name w:val="FollowedHyperlink"/>
    <w:basedOn w:val="DefaultParagraphFont"/>
    <w:uiPriority w:val="99"/>
    <w:semiHidden/>
    <w:unhideWhenUsed/>
    <w:rsid w:val="00AE4794"/>
    <w:rPr>
      <w:color w:val="800080" w:themeColor="followedHyperlink"/>
      <w:u w:val="single"/>
    </w:rPr>
  </w:style>
  <w:style w:type="paragraph" w:styleId="Header">
    <w:name w:val="header"/>
    <w:basedOn w:val="Normal"/>
    <w:link w:val="HeaderChar"/>
    <w:uiPriority w:val="99"/>
    <w:unhideWhenUsed/>
    <w:rsid w:val="0051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1D6"/>
  </w:style>
  <w:style w:type="paragraph" w:styleId="Footer">
    <w:name w:val="footer"/>
    <w:basedOn w:val="Normal"/>
    <w:link w:val="FooterChar"/>
    <w:uiPriority w:val="99"/>
    <w:unhideWhenUsed/>
    <w:rsid w:val="0051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1D6"/>
  </w:style>
  <w:style w:type="table" w:styleId="TableGrid">
    <w:name w:val="Table Grid"/>
    <w:basedOn w:val="TableNormal"/>
    <w:uiPriority w:val="59"/>
    <w:rsid w:val="0051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8786">
      <w:bodyDiv w:val="1"/>
      <w:marLeft w:val="0"/>
      <w:marRight w:val="0"/>
      <w:marTop w:val="0"/>
      <w:marBottom w:val="0"/>
      <w:divBdr>
        <w:top w:val="none" w:sz="0" w:space="0" w:color="auto"/>
        <w:left w:val="none" w:sz="0" w:space="0" w:color="auto"/>
        <w:bottom w:val="none" w:sz="0" w:space="0" w:color="auto"/>
        <w:right w:val="none" w:sz="0" w:space="0" w:color="auto"/>
      </w:divBdr>
    </w:div>
    <w:div w:id="17413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0D34-6438-43A5-8CEF-DA455342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Ross</cp:lastModifiedBy>
  <cp:revision>2</cp:revision>
  <dcterms:created xsi:type="dcterms:W3CDTF">2018-07-02T10:46:00Z</dcterms:created>
  <dcterms:modified xsi:type="dcterms:W3CDTF">2018-07-02T10:46:00Z</dcterms:modified>
</cp:coreProperties>
</file>